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F9" w:rsidRPr="00314D32" w:rsidRDefault="007531F9" w:rsidP="007531F9">
      <w:pPr>
        <w:tabs>
          <w:tab w:val="left" w:pos="1755"/>
        </w:tabs>
        <w:jc w:val="both"/>
        <w:rPr>
          <w:b/>
        </w:rPr>
      </w:pPr>
      <w:r>
        <w:rPr>
          <w:b/>
        </w:rPr>
        <w:t>Notes to the Financial</w:t>
      </w:r>
      <w:r w:rsidRPr="00314D32">
        <w:rPr>
          <w:b/>
        </w:rPr>
        <w:t xml:space="preserve"> Statements</w:t>
      </w:r>
    </w:p>
    <w:p w:rsidR="007531F9" w:rsidRPr="00314D32" w:rsidRDefault="007531F9" w:rsidP="007531F9">
      <w:pPr>
        <w:tabs>
          <w:tab w:val="left" w:pos="1755"/>
        </w:tabs>
        <w:jc w:val="both"/>
        <w:rPr>
          <w:sz w:val="20"/>
          <w:szCs w:val="20"/>
        </w:rPr>
      </w:pPr>
      <w:smartTag w:uri="urn:schemas-microsoft-com:office:smarttags" w:element="place">
        <w:smartTag w:uri="urn:schemas-microsoft-com:office:smarttags" w:element="PlaceType">
          <w:r w:rsidRPr="00DA490B">
            <w:rPr>
              <w:b/>
            </w:rPr>
            <w:t>University</w:t>
          </w:r>
        </w:smartTag>
        <w:r w:rsidRPr="00DA490B">
          <w:rPr>
            <w:b/>
          </w:rPr>
          <w:t xml:space="preserve"> of </w:t>
        </w:r>
        <w:smartTag w:uri="urn:schemas-microsoft-com:office:smarttags" w:element="PlaceName">
          <w:r w:rsidRPr="00DA490B">
            <w:rPr>
              <w:b/>
            </w:rPr>
            <w:t>Colombo</w:t>
          </w:r>
        </w:smartTag>
      </w:smartTag>
    </w:p>
    <w:p w:rsidR="007531F9" w:rsidRPr="00314D32" w:rsidRDefault="007531F9" w:rsidP="007531F9">
      <w:pPr>
        <w:tabs>
          <w:tab w:val="left" w:pos="1755"/>
        </w:tabs>
        <w:jc w:val="both"/>
        <w:rPr>
          <w:sz w:val="20"/>
          <w:szCs w:val="20"/>
        </w:rPr>
      </w:pPr>
    </w:p>
    <w:p w:rsidR="007531F9" w:rsidRPr="00314D32" w:rsidRDefault="007531F9" w:rsidP="007531F9">
      <w:pPr>
        <w:ind w:firstLine="720"/>
        <w:jc w:val="both"/>
        <w:rPr>
          <w:b/>
        </w:rPr>
      </w:pPr>
    </w:p>
    <w:p w:rsidR="007531F9" w:rsidRDefault="007531F9" w:rsidP="007531F9">
      <w:pPr>
        <w:numPr>
          <w:ilvl w:val="0"/>
          <w:numId w:val="1"/>
        </w:numPr>
        <w:tabs>
          <w:tab w:val="left" w:pos="450"/>
        </w:tabs>
        <w:ind w:left="1080" w:hanging="720"/>
        <w:jc w:val="both"/>
        <w:rPr>
          <w:b/>
        </w:rPr>
      </w:pPr>
      <w:r>
        <w:rPr>
          <w:b/>
        </w:rPr>
        <w:t>Reporting Entity</w:t>
      </w:r>
    </w:p>
    <w:p w:rsidR="007531F9" w:rsidRDefault="007531F9" w:rsidP="007531F9">
      <w:pPr>
        <w:tabs>
          <w:tab w:val="left" w:pos="450"/>
        </w:tabs>
        <w:ind w:left="1080"/>
        <w:jc w:val="both"/>
        <w:rPr>
          <w:b/>
        </w:rPr>
      </w:pPr>
    </w:p>
    <w:p w:rsidR="007531F9" w:rsidRPr="00314D32" w:rsidRDefault="007531F9" w:rsidP="007531F9">
      <w:pPr>
        <w:pStyle w:val="BodyText"/>
        <w:ind w:left="1440"/>
      </w:pPr>
      <w:r w:rsidRPr="00314D32">
        <w:t xml:space="preserve">University of Colombo has been incorporated under the Universities Act No. 16 of 1978.  The main administration is </w:t>
      </w:r>
      <w:r>
        <w:t xml:space="preserve">located </w:t>
      </w:r>
      <w:r w:rsidRPr="00314D32">
        <w:t xml:space="preserve">at the College House, No. 94 </w:t>
      </w:r>
      <w:proofErr w:type="spellStart"/>
      <w:r w:rsidRPr="00314D32">
        <w:t>Cumaratunge</w:t>
      </w:r>
      <w:proofErr w:type="spellEnd"/>
      <w:r>
        <w:t xml:space="preserve"> </w:t>
      </w:r>
      <w:proofErr w:type="spellStart"/>
      <w:r w:rsidRPr="00314D32">
        <w:t>Munidasa</w:t>
      </w:r>
      <w:proofErr w:type="spellEnd"/>
      <w:r>
        <w:t xml:space="preserve"> </w:t>
      </w:r>
      <w:proofErr w:type="spellStart"/>
      <w:r w:rsidRPr="00314D32">
        <w:t>Mawatha</w:t>
      </w:r>
      <w:proofErr w:type="spellEnd"/>
      <w:r w:rsidRPr="00314D32">
        <w:t xml:space="preserve">, </w:t>
      </w:r>
      <w:proofErr w:type="gramStart"/>
      <w:r w:rsidRPr="00314D32">
        <w:t>Colombo</w:t>
      </w:r>
      <w:proofErr w:type="gramEnd"/>
      <w:r w:rsidRPr="00314D32">
        <w:t xml:space="preserve"> 3. The Financial Statements of the University of Colombo are prepared for the year ending 31</w:t>
      </w:r>
      <w:r w:rsidRPr="00314D32">
        <w:rPr>
          <w:vertAlign w:val="superscript"/>
        </w:rPr>
        <w:t>st</w:t>
      </w:r>
      <w:r>
        <w:t>December 2014</w:t>
      </w:r>
      <w:r w:rsidRPr="00314D32">
        <w:t>.</w:t>
      </w:r>
    </w:p>
    <w:p w:rsidR="007531F9" w:rsidRPr="00314D32" w:rsidRDefault="007531F9" w:rsidP="007531F9">
      <w:pPr>
        <w:pStyle w:val="BodyText"/>
        <w:ind w:left="1440" w:hanging="90"/>
      </w:pPr>
    </w:p>
    <w:p w:rsidR="007531F9" w:rsidRPr="00314D32" w:rsidRDefault="007531F9" w:rsidP="007531F9">
      <w:pPr>
        <w:numPr>
          <w:ilvl w:val="0"/>
          <w:numId w:val="1"/>
        </w:numPr>
        <w:spacing w:line="360" w:lineRule="auto"/>
        <w:ind w:left="1080" w:hanging="720"/>
        <w:jc w:val="both"/>
        <w:rPr>
          <w:sz w:val="20"/>
          <w:szCs w:val="20"/>
        </w:rPr>
      </w:pPr>
      <w:r w:rsidRPr="00314D32">
        <w:rPr>
          <w:b/>
          <w:bCs/>
        </w:rPr>
        <w:t>Significant Accounting Policies</w:t>
      </w:r>
    </w:p>
    <w:p w:rsidR="007531F9" w:rsidRPr="00314D32" w:rsidRDefault="007531F9" w:rsidP="007531F9">
      <w:pPr>
        <w:spacing w:line="360" w:lineRule="auto"/>
        <w:ind w:firstLine="1080"/>
        <w:jc w:val="both"/>
        <w:rPr>
          <w:b/>
          <w:bCs/>
        </w:rPr>
      </w:pPr>
      <w:r w:rsidRPr="00314D32">
        <w:rPr>
          <w:b/>
          <w:bCs/>
        </w:rPr>
        <w:t>2.1 Basis of preparation</w:t>
      </w:r>
    </w:p>
    <w:p w:rsidR="007531F9" w:rsidRDefault="007531F9" w:rsidP="007531F9">
      <w:pPr>
        <w:spacing w:line="360" w:lineRule="auto"/>
        <w:ind w:left="1440"/>
        <w:jc w:val="both"/>
      </w:pPr>
      <w:r w:rsidRPr="00314D32">
        <w:t>The Financial Statement</w:t>
      </w:r>
      <w:r>
        <w:t>s</w:t>
      </w:r>
      <w:r w:rsidRPr="00314D32">
        <w:t xml:space="preserve"> of the University of Colombo are prepared unde</w:t>
      </w:r>
      <w:r>
        <w:t>r the Historical C</w:t>
      </w:r>
      <w:r w:rsidRPr="00314D32">
        <w:t xml:space="preserve">ost convention in conformity with Sri Lanka </w:t>
      </w:r>
      <w:r>
        <w:t xml:space="preserve">Public </w:t>
      </w:r>
      <w:r w:rsidRPr="00314D32">
        <w:t>Accounting Standards</w:t>
      </w:r>
      <w:r>
        <w:t xml:space="preserve"> for the accrual basis of accounts. </w:t>
      </w:r>
      <w:r w:rsidRPr="00314D32">
        <w:t>All acco</w:t>
      </w:r>
      <w:r>
        <w:t>unting policies adopted by the U</w:t>
      </w:r>
      <w:r w:rsidRPr="00314D32">
        <w:t>niversity are applied consistently with those of the previous year, where necessary comparative figures have been adjusted to conform to the changes, in presentation of current year figures.</w:t>
      </w:r>
    </w:p>
    <w:p w:rsidR="00C75243" w:rsidRDefault="00C75243" w:rsidP="007531F9">
      <w:pPr>
        <w:spacing w:line="360" w:lineRule="auto"/>
        <w:ind w:left="1440"/>
        <w:jc w:val="both"/>
      </w:pPr>
      <w:r w:rsidRPr="00314D32">
        <w:t>The Financial Statement</w:t>
      </w:r>
      <w:r>
        <w:t>s</w:t>
      </w:r>
      <w:r w:rsidRPr="00314D32">
        <w:t xml:space="preserve"> </w:t>
      </w:r>
      <w:r>
        <w:t xml:space="preserve">do not include those of the university students’ societies as it is a separate legal entity over which the university does not </w:t>
      </w:r>
      <w:r w:rsidRPr="00E14345">
        <w:t>exercise</w:t>
      </w:r>
      <w:r>
        <w:t xml:space="preserve"> control or significant influence over policy </w:t>
      </w:r>
      <w:r w:rsidRPr="00573FC1">
        <w:t>design</w:t>
      </w:r>
      <w:r>
        <w:t xml:space="preserve">.  </w:t>
      </w:r>
    </w:p>
    <w:p w:rsidR="007531F9" w:rsidRDefault="007531F9" w:rsidP="007531F9">
      <w:pPr>
        <w:spacing w:line="360" w:lineRule="auto"/>
        <w:jc w:val="both"/>
      </w:pPr>
    </w:p>
    <w:p w:rsidR="007531F9" w:rsidRPr="00B01BC9" w:rsidRDefault="007531F9" w:rsidP="007531F9">
      <w:pPr>
        <w:spacing w:line="360" w:lineRule="auto"/>
        <w:ind w:left="1080"/>
        <w:jc w:val="both"/>
        <w:rPr>
          <w:b/>
        </w:rPr>
      </w:pPr>
      <w:r w:rsidRPr="00B01BC9">
        <w:rPr>
          <w:b/>
        </w:rPr>
        <w:t xml:space="preserve">2.2. Going concern </w:t>
      </w:r>
    </w:p>
    <w:p w:rsidR="007531F9" w:rsidRDefault="007531F9" w:rsidP="007531F9">
      <w:pPr>
        <w:spacing w:line="360" w:lineRule="auto"/>
        <w:ind w:left="1080" w:firstLine="354"/>
        <w:jc w:val="both"/>
      </w:pPr>
      <w:r>
        <w:t>T</w:t>
      </w:r>
      <w:r w:rsidRPr="00314D32">
        <w:t>he Financial Statement</w:t>
      </w:r>
      <w:r>
        <w:t>s have been prepared on a going concern basis.</w:t>
      </w:r>
    </w:p>
    <w:p w:rsidR="007531F9" w:rsidRPr="00314D32" w:rsidRDefault="007531F9" w:rsidP="007531F9">
      <w:pPr>
        <w:ind w:firstLine="1440"/>
        <w:jc w:val="both"/>
        <w:rPr>
          <w:b/>
          <w:bCs/>
        </w:rPr>
      </w:pPr>
    </w:p>
    <w:p w:rsidR="007531F9" w:rsidRPr="00314D32" w:rsidRDefault="007531F9" w:rsidP="007531F9">
      <w:pPr>
        <w:ind w:firstLine="1080"/>
        <w:jc w:val="both"/>
        <w:rPr>
          <w:b/>
          <w:bCs/>
        </w:rPr>
      </w:pPr>
      <w:r>
        <w:rPr>
          <w:b/>
          <w:bCs/>
        </w:rPr>
        <w:t>2.3</w:t>
      </w:r>
      <w:r w:rsidRPr="00314D32">
        <w:rPr>
          <w:b/>
          <w:bCs/>
        </w:rPr>
        <w:t xml:space="preserve"> Events after the date of the Statement of Financial Position</w:t>
      </w:r>
    </w:p>
    <w:p w:rsidR="007531F9" w:rsidRDefault="007531F9" w:rsidP="007531F9">
      <w:pPr>
        <w:spacing w:line="360" w:lineRule="auto"/>
        <w:ind w:left="1440"/>
        <w:jc w:val="both"/>
      </w:pPr>
      <w:r w:rsidRPr="00314D32">
        <w:t>All material events after the date of the Statement of Financial Position are considered and appropriate adjustments or disclosure made in the financial statements where necessary.</w:t>
      </w:r>
    </w:p>
    <w:p w:rsidR="00BB653A" w:rsidRPr="00314D32" w:rsidRDefault="00BB653A" w:rsidP="007531F9">
      <w:pPr>
        <w:spacing w:line="360" w:lineRule="auto"/>
        <w:ind w:left="1440"/>
        <w:jc w:val="both"/>
      </w:pPr>
      <w:r>
        <w:t>University of Colombo receive Rs.123,514 from the Colombo Science &amp; Technology cell as contribution for the period ending 31.12.2013 to 31.03.2014.The University of Colombo not invested funds in the Colombo Science &amp; Technology cell.</w:t>
      </w:r>
    </w:p>
    <w:p w:rsidR="007531F9" w:rsidRDefault="007531F9" w:rsidP="007531F9">
      <w:pPr>
        <w:pStyle w:val="BodyTextIndent"/>
      </w:pPr>
      <w:r>
        <w:t xml:space="preserve">            </w:t>
      </w:r>
    </w:p>
    <w:p w:rsidR="00BB653A" w:rsidRDefault="00BB653A" w:rsidP="007531F9">
      <w:pPr>
        <w:pStyle w:val="BodyTextIndent"/>
      </w:pPr>
    </w:p>
    <w:p w:rsidR="00BB653A" w:rsidRDefault="00BB653A" w:rsidP="007531F9">
      <w:pPr>
        <w:pStyle w:val="BodyTextIndent"/>
        <w:rPr>
          <w:b/>
          <w:bCs/>
        </w:rPr>
      </w:pPr>
    </w:p>
    <w:p w:rsidR="007531F9" w:rsidRDefault="007531F9" w:rsidP="007531F9">
      <w:pPr>
        <w:spacing w:line="360" w:lineRule="auto"/>
        <w:jc w:val="both"/>
        <w:rPr>
          <w:b/>
          <w:bCs/>
        </w:rPr>
      </w:pPr>
      <w:r>
        <w:rPr>
          <w:b/>
          <w:bCs/>
        </w:rPr>
        <w:lastRenderedPageBreak/>
        <w:t xml:space="preserve">     3.        </w:t>
      </w:r>
      <w:r w:rsidRPr="00314D32">
        <w:rPr>
          <w:b/>
          <w:bCs/>
        </w:rPr>
        <w:t>Significant Accounting Policies</w:t>
      </w:r>
    </w:p>
    <w:p w:rsidR="007531F9" w:rsidRDefault="007531F9" w:rsidP="007531F9">
      <w:pPr>
        <w:pStyle w:val="BodyTextIndent"/>
        <w:tabs>
          <w:tab w:val="left" w:pos="0"/>
          <w:tab w:val="left" w:pos="1080"/>
        </w:tabs>
        <w:ind w:left="0"/>
        <w:rPr>
          <w:b/>
          <w:bCs/>
        </w:rPr>
      </w:pPr>
      <w:r>
        <w:rPr>
          <w:b/>
          <w:bCs/>
        </w:rPr>
        <w:t xml:space="preserve">                  3.1 </w:t>
      </w:r>
      <w:r w:rsidRPr="00314D32">
        <w:rPr>
          <w:b/>
          <w:bCs/>
        </w:rPr>
        <w:t>Property, Plant &amp; Equipment</w:t>
      </w:r>
    </w:p>
    <w:p w:rsidR="007531F9" w:rsidRDefault="007531F9" w:rsidP="007531F9">
      <w:pPr>
        <w:pStyle w:val="BodyTextIndent"/>
        <w:ind w:left="1440" w:hanging="90"/>
      </w:pPr>
      <w:r>
        <w:rPr>
          <w:b/>
          <w:bCs/>
        </w:rPr>
        <w:tab/>
      </w:r>
      <w:r>
        <w:t>Lands,</w:t>
      </w:r>
      <w:r w:rsidRPr="00F760ED">
        <w:t xml:space="preserve"> </w:t>
      </w:r>
      <w:r w:rsidRPr="008F73E7">
        <w:t>Buildings</w:t>
      </w:r>
      <w:r>
        <w:t>,</w:t>
      </w:r>
      <w:r w:rsidRPr="00F760ED">
        <w:t xml:space="preserve"> </w:t>
      </w:r>
      <w:r w:rsidRPr="008F73E7">
        <w:t>Lab</w:t>
      </w:r>
      <w:r>
        <w:t>oratory</w:t>
      </w:r>
      <w:r w:rsidRPr="008F73E7">
        <w:t xml:space="preserve"> and Teaching Eq</w:t>
      </w:r>
      <w:r>
        <w:t>uipment,</w:t>
      </w:r>
      <w:r w:rsidRPr="00F760ED">
        <w:t xml:space="preserve"> </w:t>
      </w:r>
      <w:r w:rsidRPr="008F73E7">
        <w:t>Fixtures &amp; Fittings</w:t>
      </w:r>
      <w:r>
        <w:t xml:space="preserve">, </w:t>
      </w:r>
      <w:r w:rsidRPr="008F73E7">
        <w:t>Library Books and Periodicals</w:t>
      </w:r>
      <w:r>
        <w:t>,</w:t>
      </w:r>
      <w:r w:rsidRPr="00F760ED">
        <w:t xml:space="preserve"> </w:t>
      </w:r>
      <w:r>
        <w:t>Motor Vehicles,</w:t>
      </w:r>
      <w:r w:rsidRPr="00F760ED">
        <w:t xml:space="preserve"> </w:t>
      </w:r>
      <w:r w:rsidRPr="008F73E7">
        <w:t>Cloaks</w:t>
      </w:r>
      <w:r>
        <w:t xml:space="preserve"> and</w:t>
      </w:r>
      <w:r w:rsidRPr="00F760ED">
        <w:t xml:space="preserve"> </w:t>
      </w:r>
      <w:r>
        <w:t xml:space="preserve">Other Assets </w:t>
      </w:r>
      <w:r w:rsidRPr="00314D32">
        <w:t>include the items</w:t>
      </w:r>
      <w:r>
        <w:t xml:space="preserve"> acquired</w:t>
      </w:r>
      <w:r w:rsidRPr="00314D32">
        <w:t xml:space="preserve"> out of government grant, research grants</w:t>
      </w:r>
      <w:r>
        <w:t>,</w:t>
      </w:r>
      <w:r w:rsidRPr="00314D32">
        <w:t xml:space="preserve"> internally generated funds</w:t>
      </w:r>
      <w:r>
        <w:t>, and donations</w:t>
      </w:r>
      <w:r w:rsidRPr="00314D32">
        <w:t>.</w:t>
      </w:r>
    </w:p>
    <w:p w:rsidR="00C324CC" w:rsidRDefault="00C324CC" w:rsidP="007531F9">
      <w:pPr>
        <w:pStyle w:val="BodyTextIndent"/>
        <w:ind w:left="1440" w:hanging="90"/>
      </w:pPr>
    </w:p>
    <w:p w:rsidR="007531F9" w:rsidRDefault="007531F9" w:rsidP="007531F9">
      <w:pPr>
        <w:pStyle w:val="BodyTextIndent"/>
        <w:tabs>
          <w:tab w:val="left" w:pos="0"/>
        </w:tabs>
        <w:ind w:left="0"/>
        <w:rPr>
          <w:b/>
          <w:bCs/>
        </w:rPr>
      </w:pPr>
      <w:r>
        <w:rPr>
          <w:b/>
          <w:bCs/>
        </w:rPr>
        <w:tab/>
      </w:r>
      <w:r>
        <w:rPr>
          <w:b/>
          <w:bCs/>
        </w:rPr>
        <w:tab/>
      </w:r>
      <w:r w:rsidR="00252D33" w:rsidRPr="00252D33">
        <w:rPr>
          <w:b/>
          <w:bCs/>
          <w:i/>
        </w:rPr>
        <w:t>a</w:t>
      </w:r>
      <w:r w:rsidRPr="00926B43">
        <w:rPr>
          <w:b/>
          <w:bCs/>
          <w:i/>
          <w:iCs/>
        </w:rPr>
        <w:t>)</w:t>
      </w:r>
      <w:r>
        <w:rPr>
          <w:b/>
          <w:bCs/>
        </w:rPr>
        <w:t xml:space="preserve"> Basis of Recognition</w:t>
      </w:r>
    </w:p>
    <w:p w:rsidR="007531F9" w:rsidRPr="0092346F" w:rsidRDefault="007531F9" w:rsidP="007531F9">
      <w:pPr>
        <w:pStyle w:val="BodyTextIndent"/>
        <w:tabs>
          <w:tab w:val="left" w:pos="0"/>
        </w:tabs>
        <w:ind w:left="0"/>
        <w:rPr>
          <w:b/>
          <w:bCs/>
        </w:rPr>
      </w:pPr>
      <w:r>
        <w:rPr>
          <w:b/>
          <w:bCs/>
        </w:rPr>
        <w:tab/>
      </w:r>
      <w:r>
        <w:rPr>
          <w:b/>
          <w:bCs/>
        </w:rPr>
        <w:tab/>
      </w:r>
      <w:r w:rsidRPr="00F56792">
        <w:t xml:space="preserve">Property, </w:t>
      </w:r>
      <w:r>
        <w:t>P</w:t>
      </w:r>
      <w:r w:rsidRPr="00F56792">
        <w:t xml:space="preserve">lant and </w:t>
      </w:r>
      <w:r>
        <w:t>E</w:t>
      </w:r>
      <w:r w:rsidRPr="00F56792">
        <w:t>quipment are recognized if it is probable that</w:t>
      </w:r>
      <w:r>
        <w:t xml:space="preserve"> </w:t>
      </w:r>
      <w:r w:rsidRPr="00F56792">
        <w:t>future</w:t>
      </w:r>
      <w:r>
        <w:t xml:space="preserve">                 </w:t>
      </w:r>
      <w:r>
        <w:tab/>
      </w:r>
      <w:r>
        <w:tab/>
      </w:r>
      <w:r w:rsidRPr="00F56792">
        <w:t>economic benefits associated with the item will flow to the</w:t>
      </w:r>
      <w:r>
        <w:t xml:space="preserve"> entity</w:t>
      </w:r>
      <w:r w:rsidRPr="00F56792">
        <w:t xml:space="preserve"> and </w:t>
      </w:r>
    </w:p>
    <w:p w:rsidR="007531F9" w:rsidRDefault="007531F9" w:rsidP="007531F9">
      <w:pPr>
        <w:ind w:firstLine="1080"/>
        <w:jc w:val="both"/>
      </w:pPr>
      <w:r>
        <w:t xml:space="preserve">      </w:t>
      </w:r>
      <w:proofErr w:type="gramStart"/>
      <w:r w:rsidRPr="00F56792">
        <w:t>the</w:t>
      </w:r>
      <w:proofErr w:type="gramEnd"/>
      <w:r w:rsidRPr="00F56792">
        <w:t xml:space="preserve"> cost of the item can be reliably measured.</w:t>
      </w:r>
    </w:p>
    <w:p w:rsidR="007531F9" w:rsidRDefault="007531F9" w:rsidP="007531F9">
      <w:pPr>
        <w:pStyle w:val="BodyText"/>
        <w:ind w:left="1440"/>
      </w:pPr>
      <w:r w:rsidRPr="008F73E7">
        <w:t>Equipment</w:t>
      </w:r>
      <w:r>
        <w:t>s are capitalized on the basis of nature.</w:t>
      </w:r>
      <w:r w:rsidRPr="00AB3A21">
        <w:t xml:space="preserve"> </w:t>
      </w:r>
      <w:r w:rsidRPr="008F73E7">
        <w:t>Equipment</w:t>
      </w:r>
      <w:r>
        <w:t xml:space="preserve"> is capitalized if it is tangible, has a life of more than one year and has a purchase cost greater than Rs.2</w:t>
      </w:r>
      <w:proofErr w:type="gramStart"/>
      <w:r>
        <w:t>,500.00.The</w:t>
      </w:r>
      <w:proofErr w:type="gramEnd"/>
      <w:r>
        <w:t xml:space="preserve"> life of asset is dependent on its category within 9 categories, ranging from 5 to 20 years.  </w:t>
      </w:r>
    </w:p>
    <w:p w:rsidR="007531F9" w:rsidRDefault="007531F9" w:rsidP="007531F9">
      <w:pPr>
        <w:pStyle w:val="BodyTextIndent"/>
        <w:ind w:left="1440" w:hanging="90"/>
      </w:pPr>
      <w:r>
        <w:t xml:space="preserve">  </w:t>
      </w:r>
    </w:p>
    <w:p w:rsidR="007531F9" w:rsidRPr="0092346F" w:rsidRDefault="007531F9" w:rsidP="007531F9">
      <w:pPr>
        <w:spacing w:line="360" w:lineRule="auto"/>
        <w:ind w:left="720" w:firstLine="720"/>
        <w:jc w:val="both"/>
        <w:rPr>
          <w:b/>
          <w:bCs/>
        </w:rPr>
      </w:pPr>
      <w:r w:rsidRPr="00926B43">
        <w:rPr>
          <w:b/>
          <w:bCs/>
          <w:i/>
          <w:iCs/>
        </w:rPr>
        <w:t>b)</w:t>
      </w:r>
      <w:r>
        <w:rPr>
          <w:b/>
          <w:bCs/>
        </w:rPr>
        <w:t xml:space="preserve"> Revaluation of the Fixed Assets</w:t>
      </w:r>
    </w:p>
    <w:p w:rsidR="007531F9" w:rsidRDefault="007531F9" w:rsidP="007531F9">
      <w:pPr>
        <w:pStyle w:val="BodyText"/>
        <w:ind w:left="1440"/>
      </w:pPr>
      <w:r>
        <w:t xml:space="preserve">Lands and Buildings of the University of Colombo&amp; Sri </w:t>
      </w:r>
      <w:proofErr w:type="spellStart"/>
      <w:r>
        <w:t>Palee</w:t>
      </w:r>
      <w:proofErr w:type="spellEnd"/>
      <w:r>
        <w:t xml:space="preserve"> Campus were revalued as at 31.12.2013 on the basis of current market value for continuation of existing use where appropriate</w:t>
      </w:r>
      <w:r w:rsidRPr="00314D32">
        <w:t xml:space="preserve">. Furniture and Office Equipment and </w:t>
      </w:r>
      <w:r w:rsidRPr="008F73E7">
        <w:t>Lab</w:t>
      </w:r>
      <w:r>
        <w:t xml:space="preserve">oratory </w:t>
      </w:r>
      <w:r w:rsidRPr="00314D32">
        <w:t>and Teaching Equipment have been revalued as at 31.12.2009</w:t>
      </w:r>
      <w:r w:rsidR="00252D33">
        <w:t xml:space="preserve"> except Sri </w:t>
      </w:r>
      <w:proofErr w:type="spellStart"/>
      <w:r w:rsidR="00252D33">
        <w:t>Palee</w:t>
      </w:r>
      <w:proofErr w:type="spellEnd"/>
      <w:r w:rsidR="00252D33">
        <w:t xml:space="preserve"> Campus</w:t>
      </w:r>
      <w:r>
        <w:t>.</w:t>
      </w:r>
      <w:r w:rsidRPr="00314D32">
        <w:t xml:space="preserve"> Motor Vehicles</w:t>
      </w:r>
      <w:r>
        <w:t xml:space="preserve"> of the University of Colombo &amp; Sri </w:t>
      </w:r>
      <w:proofErr w:type="spellStart"/>
      <w:r>
        <w:t>Palee</w:t>
      </w:r>
      <w:proofErr w:type="spellEnd"/>
      <w:r>
        <w:t xml:space="preserve"> Campus were</w:t>
      </w:r>
      <w:r w:rsidRPr="00314D32">
        <w:t xml:space="preserve"> revalued as at 31.12.2010</w:t>
      </w:r>
      <w:r>
        <w:t xml:space="preserve"> and 31-12-2013 respectively</w:t>
      </w:r>
      <w:r w:rsidRPr="00314D32">
        <w:t xml:space="preserve"> by the Chief </w:t>
      </w:r>
      <w:proofErr w:type="spellStart"/>
      <w:r w:rsidRPr="00314D32">
        <w:t>Valuer</w:t>
      </w:r>
      <w:proofErr w:type="spellEnd"/>
      <w:r w:rsidRPr="00314D32">
        <w:t xml:space="preserve"> of the Department of </w:t>
      </w:r>
      <w:r w:rsidR="00BB653A" w:rsidRPr="00314D32">
        <w:t>Valuation</w:t>
      </w:r>
      <w:r w:rsidR="00BB653A">
        <w:t xml:space="preserve">. Assets revaluation surplus reserve carrying amount is Rs.38.87 Billion as at </w:t>
      </w:r>
      <w:proofErr w:type="gramStart"/>
      <w:r w:rsidR="00BB653A">
        <w:t xml:space="preserve">31.12.2014 </w:t>
      </w:r>
      <w:r>
        <w:t>.</w:t>
      </w:r>
      <w:proofErr w:type="gramEnd"/>
      <w:r>
        <w:t xml:space="preserve">  Deeds are not available for the following lands.</w:t>
      </w:r>
    </w:p>
    <w:p w:rsidR="007531F9" w:rsidRDefault="007531F9" w:rsidP="007531F9">
      <w:pPr>
        <w:pStyle w:val="BodyText"/>
        <w:ind w:left="1440" w:right="-63"/>
      </w:pPr>
      <w:proofErr w:type="gramStart"/>
      <w:r>
        <w:t>1.College</w:t>
      </w:r>
      <w:proofErr w:type="gramEnd"/>
      <w:r>
        <w:t xml:space="preserve"> House premises,No.94,Cumarathunga </w:t>
      </w:r>
      <w:proofErr w:type="spellStart"/>
      <w:r>
        <w:t>Munidasa</w:t>
      </w:r>
      <w:proofErr w:type="spellEnd"/>
      <w:r>
        <w:t xml:space="preserve"> </w:t>
      </w:r>
      <w:proofErr w:type="spellStart"/>
      <w:r>
        <w:t>Mawatha,Colombo</w:t>
      </w:r>
      <w:proofErr w:type="spellEnd"/>
      <w:r>
        <w:t xml:space="preserve"> 03.</w:t>
      </w:r>
    </w:p>
    <w:p w:rsidR="007531F9" w:rsidRDefault="007531F9" w:rsidP="007531F9">
      <w:pPr>
        <w:pStyle w:val="BodyText"/>
        <w:ind w:left="1440"/>
      </w:pPr>
      <w:proofErr w:type="gramStart"/>
      <w:r>
        <w:t>2.Premises</w:t>
      </w:r>
      <w:proofErr w:type="gramEnd"/>
      <w:r>
        <w:t xml:space="preserve"> of Faculty of Art &amp;</w:t>
      </w:r>
      <w:r w:rsidRPr="00EE67CE">
        <w:t xml:space="preserve"> </w:t>
      </w:r>
      <w:r>
        <w:t>Faculty of Law.</w:t>
      </w:r>
    </w:p>
    <w:p w:rsidR="007531F9" w:rsidRDefault="007531F9" w:rsidP="007531F9">
      <w:pPr>
        <w:pStyle w:val="BodyText"/>
        <w:ind w:left="1440"/>
      </w:pPr>
      <w:proofErr w:type="gramStart"/>
      <w:r>
        <w:t>3.Premises</w:t>
      </w:r>
      <w:proofErr w:type="gramEnd"/>
      <w:r>
        <w:t xml:space="preserve"> of Faculty of Management &amp; Finance &amp;</w:t>
      </w:r>
      <w:r w:rsidRPr="00EE67CE">
        <w:t xml:space="preserve"> </w:t>
      </w:r>
      <w:r>
        <w:t>Faculty of Education.</w:t>
      </w:r>
    </w:p>
    <w:p w:rsidR="007531F9" w:rsidRDefault="007531F9" w:rsidP="007531F9">
      <w:pPr>
        <w:pStyle w:val="BodyText"/>
        <w:ind w:left="1440"/>
      </w:pPr>
      <w:proofErr w:type="gramStart"/>
      <w:r>
        <w:t>4.Premises</w:t>
      </w:r>
      <w:proofErr w:type="gramEnd"/>
      <w:r>
        <w:t xml:space="preserve"> of Faculty Science &amp;</w:t>
      </w:r>
      <w:r w:rsidRPr="00EE67CE">
        <w:t xml:space="preserve"> </w:t>
      </w:r>
      <w:r>
        <w:t>Play Ground.</w:t>
      </w:r>
    </w:p>
    <w:p w:rsidR="007531F9" w:rsidRDefault="007531F9" w:rsidP="007531F9">
      <w:pPr>
        <w:pStyle w:val="BodyText"/>
        <w:ind w:left="1440"/>
      </w:pPr>
      <w:proofErr w:type="gramStart"/>
      <w:r>
        <w:t>5.Bullers</w:t>
      </w:r>
      <w:proofErr w:type="gramEnd"/>
      <w:r>
        <w:t xml:space="preserve"> Hostel,37/15 </w:t>
      </w:r>
      <w:proofErr w:type="spellStart"/>
      <w:r>
        <w:t>Bullers</w:t>
      </w:r>
      <w:proofErr w:type="spellEnd"/>
      <w:r>
        <w:t xml:space="preserve"> </w:t>
      </w:r>
      <w:proofErr w:type="spellStart"/>
      <w:r>
        <w:t>Lane,Colombo</w:t>
      </w:r>
      <w:proofErr w:type="spellEnd"/>
      <w:r>
        <w:t xml:space="preserve"> 07.</w:t>
      </w:r>
    </w:p>
    <w:p w:rsidR="007531F9" w:rsidRDefault="007531F9" w:rsidP="007531F9">
      <w:pPr>
        <w:pStyle w:val="BodyText"/>
        <w:ind w:left="1440"/>
      </w:pPr>
      <w:proofErr w:type="gramStart"/>
      <w:r>
        <w:t>6.Harschandra</w:t>
      </w:r>
      <w:proofErr w:type="gramEnd"/>
      <w:r>
        <w:t xml:space="preserve"> Flats,7/7</w:t>
      </w:r>
      <w:r w:rsidRPr="00EB7B1D">
        <w:t xml:space="preserve"> </w:t>
      </w:r>
      <w:proofErr w:type="spellStart"/>
      <w:r>
        <w:t>Harschandra</w:t>
      </w:r>
      <w:proofErr w:type="spellEnd"/>
      <w:r>
        <w:t xml:space="preserve"> </w:t>
      </w:r>
      <w:proofErr w:type="spellStart"/>
      <w:r>
        <w:t>Mawatha,Colombo</w:t>
      </w:r>
      <w:proofErr w:type="spellEnd"/>
      <w:r>
        <w:t xml:space="preserve"> 06.</w:t>
      </w:r>
    </w:p>
    <w:p w:rsidR="007531F9" w:rsidRDefault="007531F9" w:rsidP="007531F9">
      <w:pPr>
        <w:pStyle w:val="BodyText"/>
        <w:ind w:left="1440"/>
      </w:pPr>
      <w:proofErr w:type="gramStart"/>
      <w:r>
        <w:t>7.Havelock</w:t>
      </w:r>
      <w:proofErr w:type="gramEnd"/>
      <w:r>
        <w:t xml:space="preserve"> Hostel,90,Havelock </w:t>
      </w:r>
      <w:proofErr w:type="spellStart"/>
      <w:r>
        <w:t>Road,Colombo</w:t>
      </w:r>
      <w:proofErr w:type="spellEnd"/>
      <w:r>
        <w:t xml:space="preserve"> 05.</w:t>
      </w:r>
    </w:p>
    <w:p w:rsidR="007531F9" w:rsidRDefault="007531F9" w:rsidP="007531F9">
      <w:pPr>
        <w:pStyle w:val="BodyText"/>
        <w:ind w:left="1440"/>
      </w:pPr>
      <w:proofErr w:type="gramStart"/>
      <w:r>
        <w:t>8.Kithyakara</w:t>
      </w:r>
      <w:proofErr w:type="gramEnd"/>
      <w:r>
        <w:t xml:space="preserve"> Hostel,87,Ananda </w:t>
      </w:r>
      <w:proofErr w:type="spellStart"/>
      <w:r>
        <w:t>Rajakaruna</w:t>
      </w:r>
      <w:proofErr w:type="spellEnd"/>
      <w:r>
        <w:t xml:space="preserve"> </w:t>
      </w:r>
      <w:proofErr w:type="spellStart"/>
      <w:r>
        <w:t>Mawatha,Colombo</w:t>
      </w:r>
      <w:proofErr w:type="spellEnd"/>
      <w:r>
        <w:t xml:space="preserve"> 10.</w:t>
      </w:r>
    </w:p>
    <w:p w:rsidR="007531F9" w:rsidRDefault="007531F9" w:rsidP="007531F9">
      <w:pPr>
        <w:pStyle w:val="BodyText"/>
        <w:ind w:left="1440"/>
      </w:pPr>
      <w:proofErr w:type="gramStart"/>
      <w:r>
        <w:t>9.Premises</w:t>
      </w:r>
      <w:proofErr w:type="gramEnd"/>
      <w:r>
        <w:t xml:space="preserve"> of Faculty of </w:t>
      </w:r>
      <w:proofErr w:type="spellStart"/>
      <w:r>
        <w:t>Medicine,Norris</w:t>
      </w:r>
      <w:proofErr w:type="spellEnd"/>
      <w:r>
        <w:t xml:space="preserve"> Canal </w:t>
      </w:r>
      <w:proofErr w:type="spellStart"/>
      <w:r>
        <w:t>Road,Colombo</w:t>
      </w:r>
      <w:proofErr w:type="spellEnd"/>
      <w:r>
        <w:t xml:space="preserve"> 10.</w:t>
      </w:r>
    </w:p>
    <w:p w:rsidR="007531F9" w:rsidRDefault="007531F9" w:rsidP="007531F9">
      <w:pPr>
        <w:pStyle w:val="BodyText"/>
        <w:ind w:left="1440"/>
      </w:pPr>
    </w:p>
    <w:p w:rsidR="00252D33" w:rsidRDefault="00252D33" w:rsidP="007531F9">
      <w:pPr>
        <w:pStyle w:val="BodyText"/>
        <w:ind w:left="1440"/>
      </w:pPr>
      <w:r>
        <w:lastRenderedPageBreak/>
        <w:t>Following buildings were demolished during the year 2014.</w:t>
      </w:r>
    </w:p>
    <w:p w:rsidR="00252D33" w:rsidRDefault="00252D33" w:rsidP="00252D33">
      <w:pPr>
        <w:pStyle w:val="BodyText"/>
        <w:numPr>
          <w:ilvl w:val="0"/>
          <w:numId w:val="4"/>
        </w:numPr>
      </w:pPr>
      <w:r>
        <w:t>Old Library Building</w:t>
      </w:r>
    </w:p>
    <w:p w:rsidR="00252D33" w:rsidRDefault="00252D33" w:rsidP="00252D33">
      <w:pPr>
        <w:pStyle w:val="BodyText"/>
        <w:numPr>
          <w:ilvl w:val="0"/>
          <w:numId w:val="4"/>
        </w:numPr>
      </w:pPr>
      <w:r>
        <w:t>Lecture Hall – Faculty of Arts</w:t>
      </w:r>
    </w:p>
    <w:p w:rsidR="00252D33" w:rsidRDefault="00252D33" w:rsidP="00252D33">
      <w:pPr>
        <w:pStyle w:val="BodyText"/>
        <w:numPr>
          <w:ilvl w:val="0"/>
          <w:numId w:val="4"/>
        </w:numPr>
      </w:pPr>
      <w:r>
        <w:t>Day Care Center Building I &amp; II</w:t>
      </w:r>
    </w:p>
    <w:p w:rsidR="00252D33" w:rsidRDefault="00252D33" w:rsidP="00252D33">
      <w:pPr>
        <w:pStyle w:val="BodyText"/>
        <w:numPr>
          <w:ilvl w:val="0"/>
          <w:numId w:val="4"/>
        </w:numPr>
      </w:pPr>
      <w:r>
        <w:t>Lecture Hall – Management Faculty</w:t>
      </w:r>
    </w:p>
    <w:p w:rsidR="00252D33" w:rsidRDefault="00252D33" w:rsidP="00252D33">
      <w:pPr>
        <w:pStyle w:val="BodyText"/>
        <w:numPr>
          <w:ilvl w:val="0"/>
          <w:numId w:val="4"/>
        </w:numPr>
      </w:pPr>
      <w:r>
        <w:t>Toilet – Management Faculty</w:t>
      </w:r>
    </w:p>
    <w:p w:rsidR="00C324CC" w:rsidRDefault="00C324CC" w:rsidP="007531F9">
      <w:pPr>
        <w:spacing w:line="360" w:lineRule="auto"/>
        <w:ind w:left="1440"/>
        <w:jc w:val="both"/>
        <w:rPr>
          <w:b/>
          <w:bCs/>
          <w:i/>
          <w:iCs/>
        </w:rPr>
      </w:pPr>
    </w:p>
    <w:p w:rsidR="007531F9" w:rsidRDefault="007531F9" w:rsidP="007531F9">
      <w:pPr>
        <w:spacing w:line="360" w:lineRule="auto"/>
        <w:ind w:left="1440"/>
        <w:jc w:val="both"/>
        <w:rPr>
          <w:b/>
          <w:bCs/>
        </w:rPr>
      </w:pPr>
      <w:r w:rsidRPr="00926B43">
        <w:rPr>
          <w:b/>
          <w:bCs/>
          <w:i/>
          <w:iCs/>
        </w:rPr>
        <w:t>c)</w:t>
      </w:r>
      <w:r>
        <w:rPr>
          <w:b/>
          <w:bCs/>
        </w:rPr>
        <w:t xml:space="preserve"> </w:t>
      </w:r>
      <w:r w:rsidRPr="000022EC">
        <w:rPr>
          <w:b/>
          <w:bCs/>
        </w:rPr>
        <w:t>Subsequent expenditure on existing Fixed Asset</w:t>
      </w:r>
      <w:r>
        <w:rPr>
          <w:b/>
          <w:bCs/>
        </w:rPr>
        <w:t>s</w:t>
      </w:r>
    </w:p>
    <w:p w:rsidR="007531F9" w:rsidRDefault="007531F9" w:rsidP="007531F9">
      <w:pPr>
        <w:spacing w:line="360" w:lineRule="auto"/>
        <w:ind w:left="1440"/>
        <w:jc w:val="both"/>
      </w:pPr>
      <w:r w:rsidRPr="000022EC">
        <w:t xml:space="preserve">Expenditure </w:t>
      </w:r>
      <w:r>
        <w:t xml:space="preserve">incurred on tangible fixed assets is charged to the Statement of Financial Performance in the period it is incurred, unless it meets one of the following criteria, in which case it is capitalized and </w:t>
      </w:r>
      <w:proofErr w:type="gramStart"/>
      <w:r>
        <w:t>depreciate</w:t>
      </w:r>
      <w:proofErr w:type="gramEnd"/>
      <w:r>
        <w:t xml:space="preserve"> on the relevant basis.</w:t>
      </w:r>
    </w:p>
    <w:p w:rsidR="007531F9" w:rsidRDefault="007531F9" w:rsidP="007531F9">
      <w:pPr>
        <w:pStyle w:val="ListParagraph"/>
        <w:numPr>
          <w:ilvl w:val="0"/>
          <w:numId w:val="2"/>
        </w:numPr>
        <w:spacing w:line="360" w:lineRule="auto"/>
        <w:jc w:val="both"/>
      </w:pPr>
      <w:r>
        <w:t>Market value of fixed assets has subsequently increased.</w:t>
      </w:r>
    </w:p>
    <w:p w:rsidR="007531F9" w:rsidRDefault="007531F9" w:rsidP="007531F9">
      <w:pPr>
        <w:pStyle w:val="ListParagraph"/>
        <w:numPr>
          <w:ilvl w:val="0"/>
          <w:numId w:val="2"/>
        </w:numPr>
        <w:spacing w:line="360" w:lineRule="auto"/>
        <w:jc w:val="both"/>
      </w:pPr>
      <w:r>
        <w:t>Asset capacity increase.</w:t>
      </w:r>
    </w:p>
    <w:p w:rsidR="007531F9" w:rsidRDefault="007531F9" w:rsidP="007531F9">
      <w:pPr>
        <w:pStyle w:val="ListParagraph"/>
        <w:numPr>
          <w:ilvl w:val="0"/>
          <w:numId w:val="2"/>
        </w:numPr>
        <w:spacing w:line="360" w:lineRule="auto"/>
        <w:jc w:val="both"/>
      </w:pPr>
      <w:r>
        <w:t>Sustainable improvement in the quality of output or reduction in operating cost.</w:t>
      </w:r>
    </w:p>
    <w:p w:rsidR="007531F9" w:rsidRPr="000022EC" w:rsidRDefault="007531F9" w:rsidP="007531F9">
      <w:pPr>
        <w:pStyle w:val="ListParagraph"/>
        <w:numPr>
          <w:ilvl w:val="0"/>
          <w:numId w:val="2"/>
        </w:numPr>
        <w:spacing w:line="360" w:lineRule="auto"/>
        <w:jc w:val="both"/>
      </w:pPr>
      <w:r>
        <w:t>Significant extension of the asset life beyond that confirmed by repair and maintenance.</w:t>
      </w:r>
    </w:p>
    <w:p w:rsidR="007531F9" w:rsidRDefault="007531F9" w:rsidP="007531F9">
      <w:pPr>
        <w:pStyle w:val="BodyText"/>
        <w:tabs>
          <w:tab w:val="left" w:pos="1440"/>
          <w:tab w:val="left" w:pos="1530"/>
        </w:tabs>
        <w:rPr>
          <w:b/>
          <w:bCs/>
        </w:rPr>
      </w:pPr>
      <w:r>
        <w:tab/>
      </w:r>
      <w:r w:rsidRPr="00926B43">
        <w:rPr>
          <w:b/>
          <w:bCs/>
          <w:i/>
          <w:iCs/>
        </w:rPr>
        <w:t>d)</w:t>
      </w:r>
      <w:r>
        <w:rPr>
          <w:b/>
          <w:bCs/>
        </w:rPr>
        <w:t xml:space="preserve"> Depreciation</w:t>
      </w:r>
    </w:p>
    <w:p w:rsidR="007531F9" w:rsidRDefault="007531F9" w:rsidP="007531F9">
      <w:pPr>
        <w:pStyle w:val="BodyTextIndent"/>
        <w:ind w:left="1500"/>
      </w:pPr>
      <w:r>
        <w:t xml:space="preserve">Depreciation </w:t>
      </w:r>
      <w:r w:rsidRPr="004270A9">
        <w:t xml:space="preserve">is recognized in the Statement of </w:t>
      </w:r>
      <w:r>
        <w:t xml:space="preserve">Financial Performance                           on a Straight –Line Method </w:t>
      </w:r>
      <w:r w:rsidRPr="004270A9">
        <w:t>over the estimated useful</w:t>
      </w:r>
      <w:r>
        <w:t xml:space="preserve"> life</w:t>
      </w:r>
      <w:r w:rsidRPr="004270A9">
        <w:t xml:space="preserve"> of Property, Plant and Equipment items</w:t>
      </w:r>
      <w:r>
        <w:t xml:space="preserve"> from the date that they were made available for use</w:t>
      </w:r>
      <w:r w:rsidRPr="004270A9">
        <w:t>. Land</w:t>
      </w:r>
      <w:r>
        <w:t>s</w:t>
      </w:r>
      <w:r w:rsidRPr="004270A9">
        <w:t xml:space="preserve"> </w:t>
      </w:r>
      <w:r>
        <w:t>are</w:t>
      </w:r>
      <w:r w:rsidRPr="004270A9">
        <w:t xml:space="preserve"> not depreciated. The estimated useful li</w:t>
      </w:r>
      <w:r>
        <w:t>fe periods are</w:t>
      </w:r>
      <w:r w:rsidRPr="004270A9">
        <w:t xml:space="preserve"> as follows</w:t>
      </w:r>
      <w:r>
        <w:t>.</w:t>
      </w:r>
    </w:p>
    <w:p w:rsidR="003D1193" w:rsidRDefault="003D1193" w:rsidP="007531F9">
      <w:pPr>
        <w:pStyle w:val="BodyTextIndent"/>
        <w:ind w:left="1500"/>
      </w:pPr>
    </w:p>
    <w:p w:rsidR="007531F9" w:rsidRPr="00314D32" w:rsidRDefault="007531F9" w:rsidP="007531F9">
      <w:pPr>
        <w:pStyle w:val="BodyText"/>
        <w:ind w:left="1440"/>
      </w:pPr>
      <w:r>
        <w:t xml:space="preserve">        </w:t>
      </w:r>
      <w:r w:rsidRPr="00926B43">
        <w:rPr>
          <w:b/>
          <w:bCs/>
        </w:rPr>
        <w:t>Description</w:t>
      </w:r>
      <w:r>
        <w:tab/>
      </w:r>
      <w:r>
        <w:tab/>
      </w:r>
      <w:r>
        <w:tab/>
      </w:r>
      <w:r>
        <w:tab/>
        <w:t xml:space="preserve">      </w:t>
      </w:r>
      <w:r w:rsidRPr="00926B43">
        <w:rPr>
          <w:b/>
          <w:bCs/>
        </w:rPr>
        <w:t>Estimated useful life</w:t>
      </w:r>
      <w:r>
        <w:rPr>
          <w:b/>
          <w:bCs/>
        </w:rPr>
        <w:t xml:space="preserve"> period</w:t>
      </w:r>
    </w:p>
    <w:p w:rsidR="007531F9" w:rsidRPr="008F73E7" w:rsidRDefault="007531F9" w:rsidP="007531F9">
      <w:pPr>
        <w:tabs>
          <w:tab w:val="left" w:pos="7200"/>
        </w:tabs>
        <w:spacing w:line="360" w:lineRule="auto"/>
        <w:ind w:firstLine="2160"/>
        <w:jc w:val="both"/>
      </w:pPr>
      <w:r w:rsidRPr="008F73E7">
        <w:t xml:space="preserve">Buildings                                               </w:t>
      </w:r>
      <w:r>
        <w:tab/>
      </w:r>
      <w:r w:rsidRPr="008F73E7">
        <w:t xml:space="preserve">20 </w:t>
      </w:r>
      <w:r>
        <w:t>y</w:t>
      </w:r>
      <w:r w:rsidRPr="008F73E7">
        <w:t>ears</w:t>
      </w:r>
    </w:p>
    <w:p w:rsidR="007531F9" w:rsidRPr="008F73E7" w:rsidRDefault="007531F9" w:rsidP="007531F9">
      <w:pPr>
        <w:spacing w:line="360" w:lineRule="auto"/>
        <w:ind w:firstLine="2160"/>
        <w:jc w:val="both"/>
      </w:pPr>
      <w:r w:rsidRPr="008F73E7">
        <w:t xml:space="preserve">Furniture &amp;Equipment                         </w:t>
      </w:r>
      <w:r>
        <w:tab/>
      </w:r>
      <w:r>
        <w:tab/>
      </w:r>
      <w:r w:rsidRPr="008F73E7">
        <w:t>10 years</w:t>
      </w:r>
    </w:p>
    <w:p w:rsidR="007531F9" w:rsidRPr="008F73E7" w:rsidRDefault="007531F9" w:rsidP="007531F9">
      <w:pPr>
        <w:spacing w:line="360" w:lineRule="auto"/>
        <w:ind w:firstLine="2160"/>
        <w:jc w:val="both"/>
      </w:pPr>
      <w:r w:rsidRPr="008F73E7">
        <w:t>Lab</w:t>
      </w:r>
      <w:r>
        <w:t>oratory</w:t>
      </w:r>
      <w:r w:rsidRPr="008F73E7">
        <w:t xml:space="preserve"> and Teaching Equipment                </w:t>
      </w:r>
      <w:r>
        <w:tab/>
        <w:t xml:space="preserve">  </w:t>
      </w:r>
      <w:r w:rsidRPr="008F73E7">
        <w:t>5 years</w:t>
      </w:r>
    </w:p>
    <w:p w:rsidR="007531F9" w:rsidRPr="008F73E7" w:rsidRDefault="007531F9" w:rsidP="007531F9">
      <w:pPr>
        <w:spacing w:line="360" w:lineRule="auto"/>
        <w:ind w:firstLine="2160"/>
        <w:jc w:val="both"/>
      </w:pPr>
      <w:r w:rsidRPr="008F73E7">
        <w:t xml:space="preserve">Fixtures &amp; Fittings                             </w:t>
      </w:r>
      <w:r w:rsidRPr="008F73E7">
        <w:tab/>
      </w:r>
      <w:r w:rsidRPr="008F73E7">
        <w:tab/>
      </w:r>
      <w:r w:rsidRPr="008F73E7">
        <w:tab/>
        <w:t>10 years</w:t>
      </w:r>
    </w:p>
    <w:p w:rsidR="007531F9" w:rsidRPr="008F73E7" w:rsidRDefault="007531F9" w:rsidP="007531F9">
      <w:pPr>
        <w:spacing w:line="360" w:lineRule="auto"/>
        <w:ind w:firstLine="2160"/>
        <w:jc w:val="both"/>
      </w:pPr>
      <w:r w:rsidRPr="008F73E7">
        <w:t xml:space="preserve">Library Books and Periodicals            </w:t>
      </w:r>
      <w:r>
        <w:tab/>
      </w:r>
      <w:r>
        <w:tab/>
        <w:t xml:space="preserve">  </w:t>
      </w:r>
      <w:r w:rsidRPr="008F73E7">
        <w:t>5 years</w:t>
      </w:r>
    </w:p>
    <w:p w:rsidR="007531F9" w:rsidRPr="008F73E7" w:rsidRDefault="007531F9" w:rsidP="007531F9">
      <w:pPr>
        <w:spacing w:line="360" w:lineRule="auto"/>
        <w:ind w:firstLine="2160"/>
        <w:jc w:val="both"/>
      </w:pPr>
      <w:r w:rsidRPr="008F73E7">
        <w:t xml:space="preserve">Motor Vehicles     </w:t>
      </w:r>
      <w:r w:rsidRPr="008F73E7">
        <w:tab/>
      </w:r>
      <w:r w:rsidRPr="008F73E7">
        <w:tab/>
      </w:r>
      <w:r w:rsidRPr="008F73E7">
        <w:tab/>
      </w:r>
      <w:r w:rsidRPr="008F73E7">
        <w:tab/>
      </w:r>
      <w:r w:rsidRPr="008F73E7">
        <w:tab/>
        <w:t xml:space="preserve">  5 years</w:t>
      </w:r>
    </w:p>
    <w:p w:rsidR="007531F9" w:rsidRPr="008F73E7" w:rsidRDefault="007531F9" w:rsidP="007531F9">
      <w:pPr>
        <w:spacing w:line="360" w:lineRule="auto"/>
        <w:ind w:firstLine="2160"/>
        <w:jc w:val="both"/>
      </w:pPr>
      <w:r w:rsidRPr="008F73E7">
        <w:t xml:space="preserve">Cloaks                                                  </w:t>
      </w:r>
      <w:r>
        <w:tab/>
      </w:r>
      <w:r>
        <w:tab/>
      </w:r>
      <w:r w:rsidRPr="008F73E7">
        <w:t xml:space="preserve"> </w:t>
      </w:r>
      <w:r>
        <w:t xml:space="preserve"> </w:t>
      </w:r>
      <w:r w:rsidRPr="008F73E7">
        <w:t>5 years</w:t>
      </w:r>
    </w:p>
    <w:p w:rsidR="007531F9" w:rsidRDefault="007531F9" w:rsidP="007531F9">
      <w:pPr>
        <w:pStyle w:val="BodyTextIndent"/>
        <w:ind w:left="1440" w:hanging="90"/>
      </w:pPr>
      <w:r>
        <w:t xml:space="preserve">             </w:t>
      </w:r>
      <w:r w:rsidRPr="008F73E7">
        <w:t xml:space="preserve">Other Assets                                         </w:t>
      </w:r>
      <w:r>
        <w:tab/>
      </w:r>
      <w:r>
        <w:tab/>
      </w:r>
      <w:r w:rsidRPr="008F73E7">
        <w:t>10 years</w:t>
      </w:r>
    </w:p>
    <w:p w:rsidR="009C0F16" w:rsidRDefault="009C0F16" w:rsidP="007531F9">
      <w:pPr>
        <w:pStyle w:val="BodyTextIndent"/>
        <w:ind w:left="1440" w:hanging="90"/>
      </w:pPr>
      <w:r>
        <w:tab/>
      </w:r>
      <w:r>
        <w:tab/>
        <w:t>Software Package</w:t>
      </w:r>
      <w:r>
        <w:tab/>
      </w:r>
      <w:r>
        <w:tab/>
      </w:r>
      <w:r>
        <w:tab/>
      </w:r>
      <w:r>
        <w:tab/>
      </w:r>
      <w:r>
        <w:tab/>
        <w:t xml:space="preserve">  5 years</w:t>
      </w:r>
    </w:p>
    <w:p w:rsidR="007531F9" w:rsidRDefault="007531F9" w:rsidP="007531F9">
      <w:pPr>
        <w:pStyle w:val="BodyTextIndent"/>
        <w:ind w:left="1440" w:hanging="90"/>
      </w:pPr>
    </w:p>
    <w:p w:rsidR="007531F9" w:rsidRDefault="007531F9" w:rsidP="007531F9">
      <w:pPr>
        <w:spacing w:line="360" w:lineRule="auto"/>
        <w:ind w:left="1440"/>
        <w:jc w:val="both"/>
      </w:pPr>
      <w:r w:rsidRPr="00314D32">
        <w:t>Depreciation is provided from the year of purchase and up to the year of sale based on the period used, with full depreciation being provide</w:t>
      </w:r>
      <w:r>
        <w:t>d in the month of purchase and sale of assets.</w:t>
      </w:r>
    </w:p>
    <w:p w:rsidR="007531F9" w:rsidRDefault="007531F9" w:rsidP="007531F9">
      <w:pPr>
        <w:spacing w:line="360" w:lineRule="auto"/>
        <w:ind w:left="1440"/>
        <w:jc w:val="both"/>
      </w:pPr>
    </w:p>
    <w:p w:rsidR="007531F9" w:rsidRDefault="007531F9" w:rsidP="007531F9">
      <w:pPr>
        <w:spacing w:line="360" w:lineRule="auto"/>
        <w:ind w:left="1440"/>
        <w:jc w:val="both"/>
      </w:pPr>
    </w:p>
    <w:p w:rsidR="007531F9" w:rsidRDefault="007531F9" w:rsidP="007531F9">
      <w:pPr>
        <w:tabs>
          <w:tab w:val="left" w:pos="1440"/>
        </w:tabs>
        <w:spacing w:line="360" w:lineRule="auto"/>
        <w:jc w:val="both"/>
        <w:rPr>
          <w:b/>
          <w:bCs/>
        </w:rPr>
      </w:pPr>
      <w:r>
        <w:rPr>
          <w:b/>
          <w:bCs/>
          <w:i/>
          <w:iCs/>
        </w:rPr>
        <w:tab/>
      </w:r>
      <w:r w:rsidRPr="006D4D30">
        <w:rPr>
          <w:b/>
          <w:bCs/>
          <w:i/>
          <w:iCs/>
        </w:rPr>
        <w:t>e)</w:t>
      </w:r>
      <w:r>
        <w:rPr>
          <w:b/>
          <w:bCs/>
          <w:i/>
          <w:iCs/>
        </w:rPr>
        <w:t xml:space="preserve"> </w:t>
      </w:r>
      <w:r>
        <w:rPr>
          <w:b/>
          <w:bCs/>
        </w:rPr>
        <w:t>Fully Depreciated Assets</w:t>
      </w:r>
    </w:p>
    <w:p w:rsidR="007531F9" w:rsidRDefault="007531F9" w:rsidP="007531F9">
      <w:pPr>
        <w:spacing w:line="360" w:lineRule="auto"/>
        <w:ind w:left="1440"/>
        <w:jc w:val="both"/>
      </w:pPr>
      <w:r w:rsidRPr="00134565">
        <w:t>Fully</w:t>
      </w:r>
      <w:r>
        <w:t xml:space="preserve"> depreciated assets as given below have been included in the carrying amount of Fixed Asset </w:t>
      </w:r>
      <w:r w:rsidRPr="009704AE">
        <w:t>Rs.40</w:t>
      </w:r>
      <w:proofErr w:type="gramStart"/>
      <w:r w:rsidRPr="009704AE">
        <w:t>,753,201,148</w:t>
      </w:r>
      <w:proofErr w:type="gramEnd"/>
      <w:r w:rsidRPr="00AD27C4">
        <w:t>.</w:t>
      </w:r>
      <w:r>
        <w:t xml:space="preserve"> </w:t>
      </w:r>
      <w:r w:rsidRPr="00AD27C4">
        <w:t>These</w:t>
      </w:r>
      <w:r>
        <w:t xml:space="preserve"> assets have been used for operating activities of the University during 2014.</w:t>
      </w:r>
    </w:p>
    <w:tbl>
      <w:tblPr>
        <w:tblW w:w="8487" w:type="dxa"/>
        <w:tblInd w:w="1188" w:type="dxa"/>
        <w:tblLook w:val="0000"/>
      </w:tblPr>
      <w:tblGrid>
        <w:gridCol w:w="7258"/>
        <w:gridCol w:w="1229"/>
      </w:tblGrid>
      <w:tr w:rsidR="007531F9" w:rsidRPr="00A67C5E" w:rsidTr="00513003">
        <w:trPr>
          <w:trHeight w:val="243"/>
        </w:trPr>
        <w:tc>
          <w:tcPr>
            <w:tcW w:w="6984" w:type="dxa"/>
            <w:tcBorders>
              <w:top w:val="nil"/>
              <w:left w:val="nil"/>
              <w:bottom w:val="nil"/>
              <w:right w:val="nil"/>
            </w:tcBorders>
            <w:shd w:val="clear" w:color="auto" w:fill="auto"/>
            <w:noWrap/>
            <w:vAlign w:val="bottom"/>
          </w:tcPr>
          <w:tbl>
            <w:tblPr>
              <w:tblW w:w="6352" w:type="dxa"/>
              <w:tblInd w:w="1950" w:type="dxa"/>
              <w:tblLook w:val="0000"/>
            </w:tblPr>
            <w:tblGrid>
              <w:gridCol w:w="2546"/>
              <w:gridCol w:w="2546"/>
            </w:tblGrid>
            <w:tr w:rsidR="00513003" w:rsidRPr="00A67C5E" w:rsidTr="00686F6E">
              <w:trPr>
                <w:trHeight w:hRule="exact" w:val="389"/>
              </w:trPr>
              <w:tc>
                <w:tcPr>
                  <w:tcW w:w="3176" w:type="dxa"/>
                  <w:tcBorders>
                    <w:top w:val="nil"/>
                    <w:left w:val="nil"/>
                    <w:bottom w:val="nil"/>
                    <w:right w:val="nil"/>
                  </w:tcBorders>
                  <w:shd w:val="clear" w:color="auto" w:fill="auto"/>
                  <w:noWrap/>
                  <w:vAlign w:val="bottom"/>
                </w:tcPr>
                <w:p w:rsidR="00513003" w:rsidRPr="00AD38BC" w:rsidRDefault="001941C5" w:rsidP="001941C5">
                  <w:pPr>
                    <w:spacing w:before="120" w:after="120"/>
                    <w:rPr>
                      <w:b/>
                      <w:bCs/>
                    </w:rPr>
                  </w:pPr>
                  <w:r>
                    <w:rPr>
                      <w:b/>
                      <w:bCs/>
                    </w:rPr>
                    <w:t xml:space="preserve">    </w:t>
                  </w:r>
                  <w:r w:rsidR="00513003" w:rsidRPr="00AD38BC">
                    <w:rPr>
                      <w:b/>
                      <w:bCs/>
                    </w:rPr>
                    <w:t>Asset</w:t>
                  </w:r>
                </w:p>
              </w:tc>
              <w:tc>
                <w:tcPr>
                  <w:tcW w:w="3176" w:type="dxa"/>
                  <w:tcBorders>
                    <w:top w:val="nil"/>
                    <w:left w:val="nil"/>
                    <w:bottom w:val="nil"/>
                    <w:right w:val="nil"/>
                  </w:tcBorders>
                  <w:shd w:val="clear" w:color="auto" w:fill="auto"/>
                  <w:noWrap/>
                  <w:vAlign w:val="bottom"/>
                </w:tcPr>
                <w:p w:rsidR="00513003" w:rsidRPr="00AD38BC" w:rsidRDefault="00513003" w:rsidP="001941C5">
                  <w:pPr>
                    <w:spacing w:before="120" w:after="120"/>
                    <w:rPr>
                      <w:b/>
                      <w:bCs/>
                    </w:rPr>
                  </w:pPr>
                  <w:r w:rsidRPr="00AD38BC">
                    <w:rPr>
                      <w:b/>
                      <w:bCs/>
                    </w:rPr>
                    <w:t xml:space="preserve">             </w:t>
                  </w:r>
                  <w:r w:rsidR="001941C5">
                    <w:rPr>
                      <w:b/>
                      <w:bCs/>
                    </w:rPr>
                    <w:t xml:space="preserve">            </w:t>
                  </w:r>
                  <w:r w:rsidRPr="00AD38BC">
                    <w:rPr>
                      <w:b/>
                      <w:bCs/>
                    </w:rPr>
                    <w:t>Rs.</w:t>
                  </w:r>
                </w:p>
              </w:tc>
            </w:tr>
            <w:tr w:rsidR="00513003" w:rsidRPr="00A67C5E" w:rsidTr="00686F6E">
              <w:trPr>
                <w:trHeight w:hRule="exact" w:val="389"/>
              </w:trPr>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both"/>
                  </w:pPr>
                  <w:r>
                    <w:t>1. Cloaks</w:t>
                  </w:r>
                </w:p>
              </w:tc>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right"/>
                  </w:pPr>
                  <w:r>
                    <w:t>1,786,399.50</w:t>
                  </w:r>
                </w:p>
              </w:tc>
            </w:tr>
            <w:tr w:rsidR="00513003" w:rsidRPr="00A67C5E" w:rsidTr="00686F6E">
              <w:trPr>
                <w:trHeight w:hRule="exact" w:val="389"/>
              </w:trPr>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both"/>
                  </w:pPr>
                  <w:r>
                    <w:t>2. Motor Vehicle</w:t>
                  </w:r>
                </w:p>
              </w:tc>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right"/>
                  </w:pPr>
                  <w:r>
                    <w:t>512,400.00</w:t>
                  </w:r>
                </w:p>
              </w:tc>
            </w:tr>
            <w:tr w:rsidR="00513003" w:rsidRPr="00A67C5E" w:rsidTr="00686F6E">
              <w:trPr>
                <w:trHeight w:hRule="exact" w:val="389"/>
              </w:trPr>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both"/>
                  </w:pPr>
                  <w:r>
                    <w:t>3. Telephone System</w:t>
                  </w:r>
                </w:p>
              </w:tc>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right"/>
                  </w:pPr>
                  <w:r>
                    <w:t>8,585,562.50</w:t>
                  </w:r>
                </w:p>
              </w:tc>
            </w:tr>
            <w:tr w:rsidR="00513003" w:rsidRPr="00A67C5E" w:rsidTr="00686F6E">
              <w:trPr>
                <w:trHeight w:hRule="exact" w:val="389"/>
              </w:trPr>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both"/>
                  </w:pPr>
                  <w:r>
                    <w:t>4. Library Books</w:t>
                  </w:r>
                </w:p>
              </w:tc>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right"/>
                  </w:pPr>
                  <w:r>
                    <w:t>246,196,775.29</w:t>
                  </w:r>
                </w:p>
              </w:tc>
            </w:tr>
            <w:tr w:rsidR="00513003" w:rsidRPr="00A67C5E" w:rsidTr="00686F6E">
              <w:trPr>
                <w:trHeight w:hRule="exact" w:val="389"/>
              </w:trPr>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both"/>
                  </w:pPr>
                  <w:r>
                    <w:t>5. Fixture &amp; Fittings</w:t>
                  </w:r>
                </w:p>
              </w:tc>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jc w:val="right"/>
                  </w:pPr>
                  <w:r>
                    <w:t>4,584,696.03</w:t>
                  </w:r>
                </w:p>
              </w:tc>
            </w:tr>
            <w:tr w:rsidR="00513003" w:rsidRPr="0050568C" w:rsidTr="00686F6E">
              <w:trPr>
                <w:trHeight w:hRule="exact" w:val="389"/>
              </w:trPr>
              <w:tc>
                <w:tcPr>
                  <w:tcW w:w="3176" w:type="dxa"/>
                  <w:tcBorders>
                    <w:top w:val="nil"/>
                    <w:left w:val="nil"/>
                    <w:bottom w:val="nil"/>
                    <w:right w:val="nil"/>
                  </w:tcBorders>
                  <w:shd w:val="clear" w:color="auto" w:fill="auto"/>
                  <w:noWrap/>
                  <w:vAlign w:val="bottom"/>
                </w:tcPr>
                <w:p w:rsidR="00513003" w:rsidRPr="009704AE" w:rsidRDefault="00513003" w:rsidP="00686F6E">
                  <w:pPr>
                    <w:spacing w:before="120" w:after="120"/>
                    <w:rPr>
                      <w:b/>
                    </w:rPr>
                  </w:pPr>
                  <w:r w:rsidRPr="009704AE">
                    <w:rPr>
                      <w:b/>
                    </w:rPr>
                    <w:t xml:space="preserve">                     Total</w:t>
                  </w:r>
                </w:p>
              </w:tc>
              <w:tc>
                <w:tcPr>
                  <w:tcW w:w="3176" w:type="dxa"/>
                  <w:tcBorders>
                    <w:top w:val="single" w:sz="4" w:space="0" w:color="auto"/>
                    <w:left w:val="nil"/>
                    <w:bottom w:val="double" w:sz="6" w:space="0" w:color="auto"/>
                    <w:right w:val="nil"/>
                  </w:tcBorders>
                  <w:shd w:val="clear" w:color="auto" w:fill="auto"/>
                  <w:noWrap/>
                  <w:vAlign w:val="bottom"/>
                </w:tcPr>
                <w:p w:rsidR="00513003" w:rsidRPr="009704AE" w:rsidRDefault="00513003" w:rsidP="00686F6E">
                  <w:pPr>
                    <w:spacing w:before="120" w:after="120"/>
                    <w:jc w:val="right"/>
                    <w:rPr>
                      <w:b/>
                    </w:rPr>
                  </w:pPr>
                  <w:r>
                    <w:rPr>
                      <w:b/>
                    </w:rPr>
                    <w:t>261,665,833.32</w:t>
                  </w:r>
                </w:p>
              </w:tc>
            </w:tr>
          </w:tbl>
          <w:p w:rsidR="007531F9" w:rsidRPr="00AD38BC" w:rsidRDefault="007531F9" w:rsidP="00EF0F56">
            <w:pPr>
              <w:spacing w:before="120" w:after="120"/>
              <w:ind w:left="1242"/>
              <w:rPr>
                <w:b/>
                <w:bCs/>
              </w:rPr>
            </w:pPr>
          </w:p>
        </w:tc>
        <w:tc>
          <w:tcPr>
            <w:tcW w:w="1503" w:type="dxa"/>
            <w:tcBorders>
              <w:top w:val="nil"/>
              <w:left w:val="nil"/>
              <w:bottom w:val="nil"/>
              <w:right w:val="nil"/>
            </w:tcBorders>
            <w:shd w:val="clear" w:color="auto" w:fill="auto"/>
            <w:noWrap/>
            <w:vAlign w:val="bottom"/>
          </w:tcPr>
          <w:p w:rsidR="007531F9" w:rsidRPr="00AD38BC" w:rsidRDefault="007531F9" w:rsidP="00EF0F56">
            <w:pPr>
              <w:spacing w:before="120" w:after="120"/>
              <w:rPr>
                <w:b/>
                <w:bCs/>
              </w:rPr>
            </w:pPr>
          </w:p>
        </w:tc>
      </w:tr>
      <w:tr w:rsidR="007531F9" w:rsidRPr="00A67C5E" w:rsidTr="00513003">
        <w:trPr>
          <w:trHeight w:val="80"/>
        </w:trPr>
        <w:tc>
          <w:tcPr>
            <w:tcW w:w="6984" w:type="dxa"/>
            <w:tcBorders>
              <w:top w:val="nil"/>
              <w:left w:val="nil"/>
              <w:bottom w:val="nil"/>
              <w:right w:val="nil"/>
            </w:tcBorders>
            <w:shd w:val="clear" w:color="auto" w:fill="auto"/>
            <w:noWrap/>
            <w:vAlign w:val="bottom"/>
          </w:tcPr>
          <w:p w:rsidR="007531F9" w:rsidRPr="00AD38BC" w:rsidRDefault="007531F9" w:rsidP="00EF0F56">
            <w:pPr>
              <w:spacing w:before="120" w:after="120"/>
              <w:ind w:left="1242"/>
            </w:pPr>
          </w:p>
        </w:tc>
        <w:tc>
          <w:tcPr>
            <w:tcW w:w="1503" w:type="dxa"/>
            <w:tcBorders>
              <w:top w:val="nil"/>
              <w:left w:val="nil"/>
              <w:bottom w:val="nil"/>
              <w:right w:val="nil"/>
            </w:tcBorders>
            <w:shd w:val="clear" w:color="auto" w:fill="auto"/>
            <w:noWrap/>
            <w:vAlign w:val="bottom"/>
          </w:tcPr>
          <w:p w:rsidR="007531F9" w:rsidRPr="00AD38BC" w:rsidRDefault="007531F9" w:rsidP="00EF0F56">
            <w:pPr>
              <w:spacing w:before="120" w:after="120"/>
              <w:jc w:val="right"/>
            </w:pPr>
          </w:p>
        </w:tc>
      </w:tr>
    </w:tbl>
    <w:p w:rsidR="007531F9" w:rsidRPr="004270A9" w:rsidRDefault="007531F9" w:rsidP="007531F9">
      <w:pPr>
        <w:pStyle w:val="BodyTextIndent"/>
        <w:ind w:left="1440" w:hanging="90"/>
      </w:pPr>
    </w:p>
    <w:p w:rsidR="007531F9" w:rsidRDefault="007531F9" w:rsidP="007531F9">
      <w:pPr>
        <w:pStyle w:val="BodyText"/>
        <w:ind w:left="720" w:firstLine="720"/>
        <w:rPr>
          <w:b/>
          <w:bCs/>
          <w:i/>
          <w:iCs/>
        </w:rPr>
      </w:pPr>
      <w:r>
        <w:rPr>
          <w:b/>
          <w:bCs/>
          <w:i/>
          <w:iCs/>
        </w:rPr>
        <w:t xml:space="preserve">f) </w:t>
      </w:r>
      <w:r w:rsidRPr="00911980">
        <w:rPr>
          <w:b/>
          <w:bCs/>
          <w:iCs/>
        </w:rPr>
        <w:t>Maintenance of Premises</w:t>
      </w:r>
    </w:p>
    <w:p w:rsidR="007531F9" w:rsidRPr="00911980" w:rsidRDefault="007531F9" w:rsidP="007531F9">
      <w:pPr>
        <w:pStyle w:val="BodyText"/>
        <w:ind w:left="1440"/>
        <w:rPr>
          <w:bCs/>
          <w:iCs/>
        </w:rPr>
      </w:pPr>
      <w:r>
        <w:rPr>
          <w:bCs/>
          <w:iCs/>
        </w:rPr>
        <w:t xml:space="preserve">The University has a maintenance plan which is periodically reviews and forms the basis of the on-going maintenance of the estate.  The cost of maintenance is charged to the income and Expenditure Account as incurred. </w:t>
      </w:r>
    </w:p>
    <w:p w:rsidR="007531F9" w:rsidRDefault="007531F9" w:rsidP="007531F9">
      <w:pPr>
        <w:pStyle w:val="BodyText"/>
        <w:ind w:left="720" w:firstLine="720"/>
        <w:rPr>
          <w:b/>
          <w:bCs/>
          <w:i/>
          <w:iCs/>
        </w:rPr>
      </w:pPr>
    </w:p>
    <w:p w:rsidR="007531F9" w:rsidRPr="00C26920" w:rsidRDefault="007531F9" w:rsidP="007531F9">
      <w:pPr>
        <w:pStyle w:val="BodyText"/>
        <w:ind w:left="720" w:firstLine="720"/>
        <w:rPr>
          <w:b/>
          <w:bCs/>
        </w:rPr>
      </w:pPr>
      <w:r w:rsidRPr="0058710D">
        <w:rPr>
          <w:b/>
          <w:bCs/>
          <w:i/>
        </w:rPr>
        <w:t>g</w:t>
      </w:r>
      <w:r w:rsidRPr="00926B43">
        <w:rPr>
          <w:b/>
          <w:bCs/>
        </w:rPr>
        <w:t>)</w:t>
      </w:r>
      <w:r>
        <w:rPr>
          <w:b/>
          <w:bCs/>
        </w:rPr>
        <w:t xml:space="preserve"> </w:t>
      </w:r>
      <w:r w:rsidRPr="00926B43">
        <w:rPr>
          <w:b/>
          <w:bCs/>
        </w:rPr>
        <w:t>Capital Works in Progress</w:t>
      </w:r>
    </w:p>
    <w:p w:rsidR="007531F9" w:rsidRPr="00926B43" w:rsidRDefault="007531F9" w:rsidP="007531F9">
      <w:pPr>
        <w:pStyle w:val="BodyTextIndent"/>
        <w:ind w:left="1440"/>
      </w:pPr>
      <w:r w:rsidRPr="00926B43">
        <w:t xml:space="preserve">Capital expenses incurred during the year which are not completed as at the </w:t>
      </w:r>
      <w:r>
        <w:t xml:space="preserve">       </w:t>
      </w:r>
      <w:r w:rsidRPr="00926B43">
        <w:t>date of the Statement of Financial Position are shown as Capital Work-in-Progress, whilst the capital assets which have been completed during the year</w:t>
      </w:r>
    </w:p>
    <w:p w:rsidR="007531F9" w:rsidRPr="005C03C6" w:rsidRDefault="007531F9" w:rsidP="007531F9">
      <w:pPr>
        <w:pStyle w:val="BodyTextIndent"/>
        <w:tabs>
          <w:tab w:val="left" w:pos="1440"/>
        </w:tabs>
      </w:pPr>
      <w:r>
        <w:t xml:space="preserve">                </w:t>
      </w:r>
      <w:proofErr w:type="gramStart"/>
      <w:r w:rsidRPr="00926B43">
        <w:t>and</w:t>
      </w:r>
      <w:proofErr w:type="gramEnd"/>
      <w:r w:rsidRPr="00926B43">
        <w:t xml:space="preserve"> put to use have been transferred to Property, Plant and</w:t>
      </w:r>
      <w:r w:rsidRPr="00814DA8">
        <w:t xml:space="preserve"> </w:t>
      </w:r>
      <w:r w:rsidRPr="00926B43">
        <w:t>Equipment.</w:t>
      </w:r>
    </w:p>
    <w:p w:rsidR="007531F9" w:rsidRDefault="007531F9" w:rsidP="007531F9">
      <w:pPr>
        <w:pStyle w:val="BodyTextIndent"/>
        <w:rPr>
          <w:b/>
          <w:bCs/>
        </w:rPr>
      </w:pPr>
      <w:r>
        <w:rPr>
          <w:b/>
          <w:bCs/>
        </w:rPr>
        <w:t xml:space="preserve">   </w:t>
      </w:r>
    </w:p>
    <w:p w:rsidR="007531F9" w:rsidRDefault="007531F9" w:rsidP="003D1193">
      <w:pPr>
        <w:pStyle w:val="BodyTextIndent"/>
        <w:ind w:left="1080"/>
        <w:rPr>
          <w:b/>
          <w:bCs/>
        </w:rPr>
      </w:pPr>
      <w:r>
        <w:rPr>
          <w:b/>
          <w:bCs/>
        </w:rPr>
        <w:t>3</w:t>
      </w:r>
      <w:r w:rsidRPr="00314D32">
        <w:rPr>
          <w:b/>
          <w:bCs/>
        </w:rPr>
        <w:t>.</w:t>
      </w:r>
      <w:r w:rsidR="006175AD">
        <w:rPr>
          <w:b/>
          <w:bCs/>
        </w:rPr>
        <w:t>2</w:t>
      </w:r>
      <w:r w:rsidRPr="00314D32">
        <w:rPr>
          <w:b/>
          <w:bCs/>
        </w:rPr>
        <w:t xml:space="preserve"> Inventories</w:t>
      </w:r>
      <w:r>
        <w:rPr>
          <w:b/>
          <w:bCs/>
        </w:rPr>
        <w:t xml:space="preserve"> </w:t>
      </w:r>
      <w:r w:rsidRPr="00314D32">
        <w:rPr>
          <w:b/>
          <w:bCs/>
        </w:rPr>
        <w:t>&amp; Stocks</w:t>
      </w:r>
    </w:p>
    <w:p w:rsidR="007531F9" w:rsidRDefault="007531F9" w:rsidP="007531F9">
      <w:pPr>
        <w:pStyle w:val="BodyTextIndent"/>
        <w:ind w:left="1440"/>
      </w:pPr>
      <w:r w:rsidRPr="00D85075">
        <w:t>Inventories are stated at the lower of cost and net realizable value. In general, cost is determined on a first-in-first-out basis and includes expenditure incurred in acquiring the inventories and bringing them to their existing condition and location.</w:t>
      </w:r>
    </w:p>
    <w:p w:rsidR="007531F9" w:rsidRDefault="007531F9" w:rsidP="007531F9">
      <w:pPr>
        <w:pStyle w:val="BodyTextIndent"/>
        <w:ind w:left="1440"/>
      </w:pPr>
      <w:r w:rsidRPr="00E754D6">
        <w:lastRenderedPageBreak/>
        <w:t>Following categories of stocks have been included in the stock value of the University as at 31.12.2014.</w:t>
      </w:r>
    </w:p>
    <w:p w:rsidR="007531F9" w:rsidRDefault="007531F9" w:rsidP="007531F9">
      <w:pPr>
        <w:pStyle w:val="BodyTextIndent"/>
        <w:ind w:left="1440"/>
      </w:pPr>
      <w:r>
        <w:tab/>
      </w:r>
      <w:r>
        <w:tab/>
      </w:r>
      <w:r>
        <w:tab/>
      </w:r>
      <w:r>
        <w:tab/>
      </w:r>
      <w:r>
        <w:tab/>
        <w:t xml:space="preserve">    Rs.</w:t>
      </w:r>
    </w:p>
    <w:p w:rsidR="007531F9" w:rsidRPr="007B276C" w:rsidRDefault="007531F9" w:rsidP="007531F9">
      <w:pPr>
        <w:pStyle w:val="BodyTextIndent"/>
        <w:ind w:left="1440"/>
      </w:pPr>
      <w:r w:rsidRPr="007B276C">
        <w:t>Condemned Items</w:t>
      </w:r>
      <w:r w:rsidRPr="007B276C">
        <w:tab/>
      </w:r>
      <w:r w:rsidRPr="007B276C">
        <w:tab/>
      </w:r>
      <w:r w:rsidRPr="007B276C">
        <w:tab/>
      </w:r>
      <w:r w:rsidR="00AD38BC" w:rsidRPr="007B276C">
        <w:t xml:space="preserve">  41,925.00</w:t>
      </w:r>
    </w:p>
    <w:p w:rsidR="007531F9" w:rsidRPr="007B276C" w:rsidRDefault="007531F9" w:rsidP="007531F9">
      <w:pPr>
        <w:pStyle w:val="BodyTextIndent"/>
        <w:ind w:left="1440"/>
      </w:pPr>
      <w:r w:rsidRPr="007B276C">
        <w:t>Non Moving items</w:t>
      </w:r>
      <w:r w:rsidRPr="007B276C">
        <w:tab/>
      </w:r>
      <w:r w:rsidRPr="007B276C">
        <w:tab/>
      </w:r>
      <w:r w:rsidRPr="007B276C">
        <w:tab/>
      </w:r>
      <w:r w:rsidR="00AD38BC" w:rsidRPr="007B276C">
        <w:t>158,051.00</w:t>
      </w:r>
    </w:p>
    <w:p w:rsidR="007531F9" w:rsidRPr="007B276C" w:rsidRDefault="007531F9" w:rsidP="007531F9">
      <w:pPr>
        <w:pStyle w:val="BodyTextIndent"/>
        <w:ind w:left="1440"/>
        <w:rPr>
          <w:u w:val="single"/>
        </w:rPr>
      </w:pPr>
      <w:r w:rsidRPr="007B276C">
        <w:t>Slow Moving Items</w:t>
      </w:r>
      <w:r w:rsidRPr="007B276C">
        <w:tab/>
      </w:r>
      <w:r w:rsidRPr="007B276C">
        <w:tab/>
      </w:r>
      <w:r w:rsidRPr="007B276C">
        <w:tab/>
      </w:r>
      <w:r w:rsidR="00AD38BC" w:rsidRPr="007B276C">
        <w:t>127,855.00</w:t>
      </w:r>
    </w:p>
    <w:p w:rsidR="007531F9" w:rsidRPr="00764C85" w:rsidRDefault="007531F9" w:rsidP="007531F9">
      <w:pPr>
        <w:spacing w:line="360" w:lineRule="auto"/>
        <w:jc w:val="both"/>
        <w:rPr>
          <w:b/>
          <w:bCs/>
        </w:rPr>
      </w:pPr>
      <w:r w:rsidRPr="003D1193">
        <w:rPr>
          <w:b/>
          <w:bCs/>
        </w:rPr>
        <w:tab/>
      </w:r>
      <w:r w:rsidRPr="003D1193">
        <w:rPr>
          <w:b/>
          <w:bCs/>
        </w:rPr>
        <w:tab/>
        <w:t>TOTAL</w:t>
      </w:r>
      <w:r w:rsidRPr="003D1193">
        <w:rPr>
          <w:b/>
          <w:bCs/>
        </w:rPr>
        <w:tab/>
      </w:r>
      <w:r w:rsidRPr="003D1193">
        <w:rPr>
          <w:b/>
          <w:bCs/>
        </w:rPr>
        <w:tab/>
      </w:r>
      <w:r w:rsidRPr="003D1193">
        <w:rPr>
          <w:b/>
          <w:bCs/>
        </w:rPr>
        <w:tab/>
      </w:r>
      <w:r w:rsidRPr="003D1193">
        <w:rPr>
          <w:b/>
          <w:bCs/>
        </w:rPr>
        <w:tab/>
      </w:r>
      <w:r w:rsidR="00AD38BC" w:rsidRPr="00AD38BC">
        <w:rPr>
          <w:b/>
          <w:bCs/>
          <w:u w:val="double"/>
        </w:rPr>
        <w:t>327,831.</w:t>
      </w:r>
      <w:r w:rsidR="00AD38BC" w:rsidRPr="00AD38BC">
        <w:rPr>
          <w:b/>
          <w:u w:val="double"/>
        </w:rPr>
        <w:t>00</w:t>
      </w:r>
    </w:p>
    <w:p w:rsidR="007531F9" w:rsidRDefault="007531F9" w:rsidP="007531F9">
      <w:pPr>
        <w:pStyle w:val="ListParagraph"/>
        <w:ind w:left="1440"/>
        <w:jc w:val="both"/>
        <w:rPr>
          <w:b/>
          <w:bCs/>
        </w:rPr>
      </w:pPr>
    </w:p>
    <w:p w:rsidR="007531F9" w:rsidRPr="00120ABF" w:rsidRDefault="007531F9" w:rsidP="007531F9">
      <w:pPr>
        <w:pStyle w:val="BodyTextIndent"/>
        <w:ind w:left="0" w:firstLine="1080"/>
        <w:rPr>
          <w:b/>
          <w:bCs/>
        </w:rPr>
      </w:pPr>
      <w:r>
        <w:rPr>
          <w:b/>
          <w:bCs/>
        </w:rPr>
        <w:t>3</w:t>
      </w:r>
      <w:r w:rsidRPr="00314D32">
        <w:rPr>
          <w:b/>
          <w:bCs/>
        </w:rPr>
        <w:t>.</w:t>
      </w:r>
      <w:r w:rsidR="006175AD">
        <w:rPr>
          <w:b/>
          <w:bCs/>
        </w:rPr>
        <w:t>3</w:t>
      </w:r>
      <w:r w:rsidRPr="00314D32">
        <w:rPr>
          <w:b/>
          <w:bCs/>
        </w:rPr>
        <w:t xml:space="preserve"> Current Assets </w:t>
      </w:r>
    </w:p>
    <w:p w:rsidR="007531F9" w:rsidRDefault="007531F9" w:rsidP="007531F9">
      <w:pPr>
        <w:pStyle w:val="BodyTextIndent"/>
        <w:ind w:left="1440"/>
      </w:pPr>
      <w:r w:rsidRPr="00314D32">
        <w:t>Current Assets classified in the Balance Sheet are those which will be recovered within one year after the Statement of Financial Position</w:t>
      </w:r>
      <w:r>
        <w:t xml:space="preserve"> date</w:t>
      </w:r>
      <w:r w:rsidRPr="00314D32">
        <w:t>.</w:t>
      </w:r>
    </w:p>
    <w:p w:rsidR="007531F9" w:rsidRDefault="007531F9" w:rsidP="007531F9">
      <w:pPr>
        <w:pStyle w:val="BodyTextIndent"/>
        <w:ind w:left="1440"/>
      </w:pPr>
    </w:p>
    <w:p w:rsidR="007531F9" w:rsidRDefault="007531F9" w:rsidP="007531F9">
      <w:pPr>
        <w:pStyle w:val="BodyTextIndent"/>
        <w:tabs>
          <w:tab w:val="left" w:pos="1800"/>
        </w:tabs>
        <w:ind w:left="1800"/>
        <w:rPr>
          <w:b/>
          <w:bCs/>
        </w:rPr>
      </w:pPr>
      <w:r>
        <w:rPr>
          <w:b/>
          <w:bCs/>
        </w:rPr>
        <w:t>3</w:t>
      </w:r>
      <w:r w:rsidRPr="00621156">
        <w:rPr>
          <w:b/>
          <w:bCs/>
        </w:rPr>
        <w:t>.</w:t>
      </w:r>
      <w:r w:rsidR="006175AD">
        <w:rPr>
          <w:b/>
          <w:bCs/>
        </w:rPr>
        <w:t>3</w:t>
      </w:r>
      <w:r w:rsidRPr="00621156">
        <w:rPr>
          <w:b/>
          <w:bCs/>
        </w:rPr>
        <w:t>.1</w:t>
      </w:r>
      <w:r>
        <w:rPr>
          <w:b/>
          <w:bCs/>
        </w:rPr>
        <w:t xml:space="preserve"> Cash in Hand</w:t>
      </w:r>
    </w:p>
    <w:p w:rsidR="007531F9" w:rsidRDefault="007531F9" w:rsidP="007531F9">
      <w:pPr>
        <w:pStyle w:val="BodyTextIndent"/>
        <w:tabs>
          <w:tab w:val="left" w:pos="1800"/>
        </w:tabs>
        <w:ind w:left="1800"/>
      </w:pPr>
      <w:r w:rsidRPr="004F6EAB">
        <w:t>Cash &amp; cash equivalents of Rs</w:t>
      </w:r>
      <w:r w:rsidR="007B276C" w:rsidRPr="004F6EAB">
        <w:t>.131.827</w:t>
      </w:r>
      <w:proofErr w:type="gramStart"/>
      <w:r w:rsidR="007B276C" w:rsidRPr="004F6EAB">
        <w:t>,092</w:t>
      </w:r>
      <w:proofErr w:type="gramEnd"/>
      <w:r w:rsidRPr="004F6EAB">
        <w:t xml:space="preserve"> include Rs</w:t>
      </w:r>
      <w:r w:rsidR="004F6EAB" w:rsidRPr="004F6EAB">
        <w:t>.204,173.50</w:t>
      </w:r>
      <w:r w:rsidRPr="004F6EAB">
        <w:t xml:space="preserve"> received on</w:t>
      </w:r>
      <w:r>
        <w:t xml:space="preserve"> 31-12-2014.Cash in hand has be</w:t>
      </w:r>
      <w:r w:rsidR="00BE0896">
        <w:t>en deposited in the bank on</w:t>
      </w:r>
      <w:r>
        <w:t xml:space="preserve"> 01-01-2015.</w:t>
      </w:r>
    </w:p>
    <w:p w:rsidR="007531F9" w:rsidRDefault="007531F9" w:rsidP="007531F9">
      <w:pPr>
        <w:pStyle w:val="BodyTextIndent"/>
        <w:ind w:left="0"/>
      </w:pPr>
      <w:bookmarkStart w:id="0" w:name="_GoBack"/>
      <w:bookmarkEnd w:id="0"/>
    </w:p>
    <w:p w:rsidR="007531F9" w:rsidRPr="00314D32" w:rsidRDefault="007531F9" w:rsidP="007531F9">
      <w:pPr>
        <w:ind w:firstLine="1080"/>
        <w:rPr>
          <w:b/>
        </w:rPr>
      </w:pPr>
      <w:r>
        <w:rPr>
          <w:b/>
        </w:rPr>
        <w:t>3</w:t>
      </w:r>
      <w:r w:rsidRPr="00314D32">
        <w:rPr>
          <w:b/>
        </w:rPr>
        <w:t>.</w:t>
      </w:r>
      <w:r w:rsidR="006175AD">
        <w:rPr>
          <w:b/>
        </w:rPr>
        <w:t>4</w:t>
      </w:r>
      <w:r w:rsidRPr="00314D32">
        <w:rPr>
          <w:b/>
        </w:rPr>
        <w:t xml:space="preserve"> Receivables</w:t>
      </w:r>
    </w:p>
    <w:p w:rsidR="007531F9" w:rsidRPr="00314D32" w:rsidRDefault="007531F9" w:rsidP="007531F9">
      <w:pPr>
        <w:spacing w:line="360" w:lineRule="auto"/>
        <w:ind w:left="1440"/>
        <w:jc w:val="both"/>
      </w:pPr>
      <w:r w:rsidRPr="00314D32">
        <w:t xml:space="preserve">A sum of </w:t>
      </w:r>
      <w:r w:rsidR="007B276C">
        <w:t>Rs.37</w:t>
      </w:r>
      <w:proofErr w:type="gramStart"/>
      <w:r w:rsidR="007B276C">
        <w:t>,678,761</w:t>
      </w:r>
      <w:proofErr w:type="gramEnd"/>
      <w:r w:rsidRPr="00314D32">
        <w:t xml:space="preserve"> is due from employees on account of Breach of </w:t>
      </w:r>
      <w:r>
        <w:t>bonds and agreements</w:t>
      </w:r>
      <w:r w:rsidRPr="00314D32">
        <w:t xml:space="preserve"> as at 31.12.201</w:t>
      </w:r>
      <w:r>
        <w:t>4</w:t>
      </w:r>
      <w:r w:rsidRPr="00314D32">
        <w:t>.</w:t>
      </w:r>
    </w:p>
    <w:p w:rsidR="007531F9" w:rsidRDefault="007531F9" w:rsidP="007531F9">
      <w:pPr>
        <w:pStyle w:val="BodyTextIndent"/>
        <w:ind w:left="0" w:firstLine="1440"/>
        <w:rPr>
          <w:b/>
          <w:bCs/>
        </w:rPr>
      </w:pPr>
    </w:p>
    <w:p w:rsidR="007531F9" w:rsidRPr="00314D32" w:rsidRDefault="007531F9" w:rsidP="007531F9">
      <w:pPr>
        <w:pStyle w:val="BodyTextIndent"/>
        <w:ind w:left="0" w:firstLine="1080"/>
        <w:rPr>
          <w:b/>
          <w:bCs/>
        </w:rPr>
      </w:pPr>
      <w:r>
        <w:rPr>
          <w:b/>
          <w:bCs/>
        </w:rPr>
        <w:t>3</w:t>
      </w:r>
      <w:r w:rsidRPr="00314D32">
        <w:rPr>
          <w:b/>
          <w:bCs/>
        </w:rPr>
        <w:t>.</w:t>
      </w:r>
      <w:r w:rsidR="006175AD">
        <w:rPr>
          <w:b/>
          <w:bCs/>
        </w:rPr>
        <w:t>5</w:t>
      </w:r>
      <w:r w:rsidRPr="00314D32">
        <w:rPr>
          <w:b/>
          <w:bCs/>
        </w:rPr>
        <w:t xml:space="preserve"> Current Liabilities</w:t>
      </w:r>
    </w:p>
    <w:p w:rsidR="007531F9" w:rsidRPr="00314D32" w:rsidRDefault="007531F9" w:rsidP="007531F9">
      <w:pPr>
        <w:pStyle w:val="BodyTextIndent"/>
        <w:ind w:left="1440"/>
      </w:pPr>
      <w:r w:rsidRPr="00314D32">
        <w:t>Liabilities classified as Current Liabilities in the Statement of Financial Position</w:t>
      </w:r>
      <w:r>
        <w:t xml:space="preserve"> </w:t>
      </w:r>
      <w:r w:rsidRPr="00314D32">
        <w:t>are those that fall due for payment within one year from the Statement of Financial Position</w:t>
      </w:r>
      <w:r>
        <w:t xml:space="preserve"> date. All </w:t>
      </w:r>
      <w:r w:rsidRPr="00314D32">
        <w:t>kno</w:t>
      </w:r>
      <w:r>
        <w:t>wn l</w:t>
      </w:r>
      <w:r w:rsidRPr="00314D32">
        <w:t xml:space="preserve">iabilities have been </w:t>
      </w:r>
      <w:r>
        <w:t>accounted for in preparing the F</w:t>
      </w:r>
      <w:r w:rsidRPr="00314D32">
        <w:t xml:space="preserve">inancial </w:t>
      </w:r>
      <w:r>
        <w:t>S</w:t>
      </w:r>
      <w:r w:rsidRPr="00314D32">
        <w:t>tatements.</w:t>
      </w:r>
    </w:p>
    <w:p w:rsidR="007531F9" w:rsidRPr="00314D32" w:rsidRDefault="007531F9" w:rsidP="007531F9">
      <w:pPr>
        <w:pStyle w:val="BodyTextIndent"/>
        <w:ind w:left="1440"/>
      </w:pPr>
    </w:p>
    <w:p w:rsidR="007531F9" w:rsidRDefault="007531F9" w:rsidP="007531F9">
      <w:pPr>
        <w:ind w:firstLine="1080"/>
        <w:jc w:val="both"/>
        <w:rPr>
          <w:b/>
          <w:bCs/>
        </w:rPr>
      </w:pPr>
      <w:r>
        <w:rPr>
          <w:b/>
          <w:bCs/>
        </w:rPr>
        <w:t>3</w:t>
      </w:r>
      <w:r w:rsidRPr="00314D32">
        <w:rPr>
          <w:b/>
          <w:bCs/>
        </w:rPr>
        <w:t>.</w:t>
      </w:r>
      <w:r w:rsidR="006175AD">
        <w:rPr>
          <w:b/>
          <w:bCs/>
        </w:rPr>
        <w:t>6</w:t>
      </w:r>
      <w:r w:rsidRPr="00314D32">
        <w:rPr>
          <w:b/>
          <w:bCs/>
        </w:rPr>
        <w:t xml:space="preserve"> Provision for Gratuity</w:t>
      </w:r>
    </w:p>
    <w:p w:rsidR="00F562E2" w:rsidRPr="00314D32" w:rsidRDefault="00F562E2" w:rsidP="007531F9">
      <w:pPr>
        <w:ind w:firstLine="1080"/>
        <w:jc w:val="both"/>
        <w:rPr>
          <w:b/>
          <w:bCs/>
        </w:rPr>
      </w:pPr>
    </w:p>
    <w:p w:rsidR="007531F9" w:rsidRDefault="007531F9" w:rsidP="007531F9">
      <w:pPr>
        <w:pStyle w:val="BodyText"/>
        <w:ind w:left="1440"/>
      </w:pPr>
      <w:r w:rsidRPr="00314D32">
        <w:t xml:space="preserve">Provision has been made in the </w:t>
      </w:r>
      <w:r>
        <w:t>F</w:t>
      </w:r>
      <w:r w:rsidRPr="00314D32">
        <w:t>inancial Statements for retiring gratuities payable under the payment of Gratuity Act No. 12 of 1983, based on the amount payable if all employees retire on the date of the Statement of Financial Position, subject to the assumption that every employee would be entitled to the payment even if any or some of them may not have completed the minimum period of service required to be eligible for th</w:t>
      </w:r>
      <w:r>
        <w:t>e payment under the Act on the d</w:t>
      </w:r>
      <w:r w:rsidRPr="00314D32">
        <w:t xml:space="preserve">ate of the </w:t>
      </w:r>
      <w:r>
        <w:t>Statement of Financial Position</w:t>
      </w:r>
      <w:r w:rsidRPr="00314D32">
        <w:t xml:space="preserve">. </w:t>
      </w:r>
    </w:p>
    <w:p w:rsidR="00F562E2" w:rsidRDefault="00F562E2" w:rsidP="007531F9">
      <w:pPr>
        <w:pStyle w:val="BodyText"/>
        <w:ind w:left="1440"/>
      </w:pPr>
    </w:p>
    <w:p w:rsidR="007531F9" w:rsidRDefault="007531F9" w:rsidP="007531F9">
      <w:pPr>
        <w:ind w:firstLine="1080"/>
        <w:jc w:val="both"/>
        <w:rPr>
          <w:b/>
          <w:bCs/>
        </w:rPr>
      </w:pPr>
      <w:r w:rsidRPr="00E4141B">
        <w:rPr>
          <w:b/>
          <w:bCs/>
        </w:rPr>
        <w:lastRenderedPageBreak/>
        <w:t>3.</w:t>
      </w:r>
      <w:r w:rsidR="006175AD">
        <w:rPr>
          <w:b/>
          <w:bCs/>
        </w:rPr>
        <w:t>7</w:t>
      </w:r>
      <w:r w:rsidRPr="00E4141B">
        <w:rPr>
          <w:b/>
          <w:bCs/>
        </w:rPr>
        <w:t xml:space="preserve"> Contingent Liabilities</w:t>
      </w:r>
    </w:p>
    <w:p w:rsidR="00F562E2" w:rsidRPr="00E4141B" w:rsidRDefault="00F562E2" w:rsidP="007531F9">
      <w:pPr>
        <w:ind w:firstLine="1080"/>
        <w:jc w:val="both"/>
        <w:rPr>
          <w:b/>
          <w:bCs/>
        </w:rPr>
      </w:pPr>
    </w:p>
    <w:p w:rsidR="007531F9" w:rsidRDefault="007531F9" w:rsidP="007531F9">
      <w:pPr>
        <w:pStyle w:val="BodyText"/>
        <w:ind w:left="1440"/>
      </w:pPr>
      <w:r w:rsidRPr="00E4141B">
        <w:t>No provision has been made in the accounts with regard to liabilities arising out of litigation. The total estimated amount of liabilities as at 31st December 201</w:t>
      </w:r>
      <w:r w:rsidR="007B276C">
        <w:t>4</w:t>
      </w:r>
      <w:r w:rsidRPr="00E4141B">
        <w:t xml:space="preserve"> is </w:t>
      </w:r>
      <w:r w:rsidR="007B276C">
        <w:t xml:space="preserve">  </w:t>
      </w:r>
      <w:r w:rsidRPr="00E4141B">
        <w:t>Rs.</w:t>
      </w:r>
      <w:r w:rsidR="007B276C">
        <w:t>8</w:t>
      </w:r>
      <w:r w:rsidRPr="00E4141B">
        <w:t xml:space="preserve"> million.</w:t>
      </w:r>
      <w:r w:rsidRPr="00314D32">
        <w:t xml:space="preserve"> </w:t>
      </w:r>
    </w:p>
    <w:p w:rsidR="00F562E2" w:rsidRDefault="00F562E2" w:rsidP="007531F9">
      <w:pPr>
        <w:ind w:firstLine="1080"/>
        <w:jc w:val="both"/>
        <w:rPr>
          <w:b/>
        </w:rPr>
      </w:pPr>
    </w:p>
    <w:p w:rsidR="007531F9" w:rsidRDefault="007531F9" w:rsidP="007531F9">
      <w:pPr>
        <w:ind w:firstLine="1080"/>
        <w:jc w:val="both"/>
        <w:rPr>
          <w:b/>
        </w:rPr>
      </w:pPr>
    </w:p>
    <w:p w:rsidR="007531F9" w:rsidRPr="00314D32" w:rsidRDefault="007531F9" w:rsidP="007531F9">
      <w:pPr>
        <w:ind w:firstLine="1080"/>
        <w:jc w:val="both"/>
        <w:rPr>
          <w:b/>
          <w:bCs/>
        </w:rPr>
      </w:pPr>
      <w:r>
        <w:rPr>
          <w:b/>
        </w:rPr>
        <w:t>3</w:t>
      </w:r>
      <w:r w:rsidRPr="00314D32">
        <w:rPr>
          <w:b/>
        </w:rPr>
        <w:t>.</w:t>
      </w:r>
      <w:r w:rsidR="006175AD">
        <w:rPr>
          <w:b/>
        </w:rPr>
        <w:t>8</w:t>
      </w:r>
      <w:r w:rsidRPr="00314D32">
        <w:rPr>
          <w:b/>
        </w:rPr>
        <w:t xml:space="preserve"> </w:t>
      </w:r>
      <w:r w:rsidRPr="00314D32">
        <w:rPr>
          <w:b/>
          <w:bCs/>
        </w:rPr>
        <w:t>Income and Expenditure</w:t>
      </w:r>
    </w:p>
    <w:p w:rsidR="007531F9" w:rsidRPr="00314D32" w:rsidRDefault="007531F9" w:rsidP="007531F9">
      <w:pPr>
        <w:ind w:firstLine="720"/>
        <w:jc w:val="both"/>
        <w:rPr>
          <w:b/>
        </w:rPr>
      </w:pPr>
    </w:p>
    <w:p w:rsidR="007531F9" w:rsidRPr="00314D32" w:rsidRDefault="007531F9" w:rsidP="007531F9">
      <w:pPr>
        <w:ind w:left="720" w:firstLine="1080"/>
        <w:jc w:val="both"/>
        <w:rPr>
          <w:b/>
        </w:rPr>
      </w:pPr>
      <w:r>
        <w:rPr>
          <w:b/>
        </w:rPr>
        <w:t>3</w:t>
      </w:r>
      <w:r w:rsidRPr="00314D32">
        <w:rPr>
          <w:b/>
        </w:rPr>
        <w:t>.</w:t>
      </w:r>
      <w:r w:rsidR="006175AD">
        <w:rPr>
          <w:b/>
        </w:rPr>
        <w:t>8</w:t>
      </w:r>
      <w:r w:rsidRPr="00314D32">
        <w:rPr>
          <w:b/>
        </w:rPr>
        <w:t>.1 Government Grants</w:t>
      </w:r>
    </w:p>
    <w:p w:rsidR="007531F9" w:rsidRDefault="007531F9" w:rsidP="007531F9">
      <w:pPr>
        <w:spacing w:line="360" w:lineRule="auto"/>
        <w:ind w:left="1800"/>
        <w:jc w:val="both"/>
      </w:pPr>
      <w:r w:rsidRPr="00314D32">
        <w:t>Grants received from the General Treasury of the Government of Sri Lanka, and Tuition</w:t>
      </w:r>
      <w:r>
        <w:t xml:space="preserve"> </w:t>
      </w:r>
      <w:r w:rsidRPr="00314D32">
        <w:t xml:space="preserve">Fees received from the foreign and local </w:t>
      </w:r>
      <w:r>
        <w:t>s</w:t>
      </w:r>
      <w:r w:rsidRPr="00314D32">
        <w:t xml:space="preserve">tudents are recognized as income in the period in which the related costs are recognized.  </w:t>
      </w:r>
    </w:p>
    <w:p w:rsidR="007531F9" w:rsidRPr="00314D32" w:rsidRDefault="007531F9" w:rsidP="007531F9">
      <w:pPr>
        <w:spacing w:line="360" w:lineRule="auto"/>
        <w:ind w:left="1800"/>
        <w:jc w:val="both"/>
      </w:pPr>
    </w:p>
    <w:p w:rsidR="007531F9" w:rsidRPr="00314D32" w:rsidRDefault="007531F9" w:rsidP="007531F9">
      <w:pPr>
        <w:spacing w:line="360" w:lineRule="auto"/>
        <w:ind w:left="1800"/>
        <w:jc w:val="both"/>
      </w:pPr>
      <w:r w:rsidRPr="00314D32">
        <w:t xml:space="preserve">Government grants utilized to acquire assets </w:t>
      </w:r>
      <w:r>
        <w:t>that will be expensed in subsequent period</w:t>
      </w:r>
      <w:r w:rsidRPr="00314D32">
        <w:t xml:space="preserve"> are</w:t>
      </w:r>
      <w:r>
        <w:t xml:space="preserve"> recognized as deferred income. Government Grants represent by other assets including cash and cash e</w:t>
      </w:r>
      <w:r w:rsidRPr="000553D9">
        <w:t>quivalents</w:t>
      </w:r>
      <w:r>
        <w:t xml:space="preserve"> less liability.</w:t>
      </w:r>
    </w:p>
    <w:p w:rsidR="007531F9" w:rsidRDefault="007531F9" w:rsidP="007531F9">
      <w:pPr>
        <w:spacing w:line="360" w:lineRule="auto"/>
        <w:ind w:left="1800"/>
        <w:jc w:val="both"/>
      </w:pPr>
      <w:r w:rsidRPr="00314D32">
        <w:t>The total Capital Grant</w:t>
      </w:r>
      <w:r>
        <w:t xml:space="preserve">s received for the year was </w:t>
      </w:r>
      <w:r w:rsidRPr="00BF44EE">
        <w:t>Rs.</w:t>
      </w:r>
      <w:r w:rsidR="00BF44EE">
        <w:t>628.1</w:t>
      </w:r>
      <w:r w:rsidRPr="00BF44EE">
        <w:t>M</w:t>
      </w:r>
      <w:r w:rsidRPr="00314D32">
        <w:t xml:space="preserve"> which has been used as follows: </w:t>
      </w:r>
    </w:p>
    <w:p w:rsidR="007531F9" w:rsidRPr="00314D32" w:rsidRDefault="007531F9" w:rsidP="007531F9">
      <w:pPr>
        <w:tabs>
          <w:tab w:val="left" w:pos="1905"/>
        </w:tabs>
        <w:spacing w:line="360" w:lineRule="auto"/>
        <w:jc w:val="both"/>
      </w:pPr>
      <w:r>
        <w:tab/>
      </w:r>
      <w:r w:rsidRPr="00314D32">
        <w:tab/>
      </w:r>
      <w:r w:rsidRPr="00314D32">
        <w:tab/>
      </w:r>
      <w:r w:rsidRPr="00314D32">
        <w:tab/>
      </w:r>
      <w:r>
        <w:t xml:space="preserve">                                                  </w:t>
      </w:r>
      <w:r w:rsidRPr="00314D32">
        <w:t>Rs. (M)</w:t>
      </w:r>
    </w:p>
    <w:p w:rsidR="007531F9" w:rsidRPr="00BF44EE" w:rsidRDefault="007531F9" w:rsidP="00F562E2">
      <w:pPr>
        <w:tabs>
          <w:tab w:val="left" w:pos="6750"/>
        </w:tabs>
        <w:spacing w:line="360" w:lineRule="auto"/>
        <w:ind w:firstLine="2610"/>
        <w:jc w:val="both"/>
      </w:pPr>
      <w:r w:rsidRPr="00BF44EE">
        <w:t>Constructio</w:t>
      </w:r>
      <w:r w:rsidR="00F562E2">
        <w:t xml:space="preserve">n of Buildings                 </w:t>
      </w:r>
      <w:r w:rsidR="00F562E2">
        <w:tab/>
      </w:r>
      <w:r w:rsidR="00BF44EE" w:rsidRPr="00BF44EE">
        <w:t>193</w:t>
      </w:r>
    </w:p>
    <w:p w:rsidR="007531F9" w:rsidRPr="00BF44EE" w:rsidRDefault="00A31169" w:rsidP="007531F9">
      <w:pPr>
        <w:spacing w:line="360" w:lineRule="auto"/>
        <w:ind w:firstLine="2610"/>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61pt;margin-top:.85pt;width:9pt;height:6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OgQ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"/>
        </w:pict>
      </w:r>
      <w:r w:rsidR="007531F9" w:rsidRPr="00BF44EE">
        <w:t xml:space="preserve">Purchase of Books                </w:t>
      </w:r>
    </w:p>
    <w:p w:rsidR="007531F9" w:rsidRPr="00BF44EE" w:rsidRDefault="007531F9" w:rsidP="00F562E2">
      <w:pPr>
        <w:tabs>
          <w:tab w:val="left" w:pos="3240"/>
        </w:tabs>
        <w:spacing w:line="360" w:lineRule="auto"/>
        <w:ind w:firstLine="2610"/>
        <w:jc w:val="both"/>
      </w:pPr>
      <w:r w:rsidRPr="00BF44EE">
        <w:t>Laboratory &amp; Teaching</w:t>
      </w:r>
      <w:r w:rsidRPr="00BF44EE">
        <w:tab/>
      </w:r>
      <w:r w:rsidRPr="00BF44EE">
        <w:tab/>
        <w:t xml:space="preserve">            </w:t>
      </w:r>
      <w:r w:rsidR="00BF44EE">
        <w:t xml:space="preserve"> </w:t>
      </w:r>
      <w:r w:rsidR="00F562E2">
        <w:t xml:space="preserve">   </w:t>
      </w:r>
      <w:r w:rsidR="00BF44EE" w:rsidRPr="00BF44EE">
        <w:t>209</w:t>
      </w:r>
    </w:p>
    <w:p w:rsidR="007531F9" w:rsidRPr="00BF44EE" w:rsidRDefault="007531F9" w:rsidP="007531F9">
      <w:pPr>
        <w:spacing w:line="360" w:lineRule="auto"/>
        <w:ind w:firstLine="2610"/>
        <w:jc w:val="both"/>
      </w:pPr>
      <w:r w:rsidRPr="00BF44EE">
        <w:t xml:space="preserve">Equipment Furniture &amp;    </w:t>
      </w:r>
    </w:p>
    <w:p w:rsidR="007531F9" w:rsidRPr="00BF44EE" w:rsidRDefault="007531F9" w:rsidP="007531F9">
      <w:pPr>
        <w:spacing w:line="360" w:lineRule="auto"/>
        <w:ind w:firstLine="2610"/>
        <w:jc w:val="both"/>
      </w:pPr>
      <w:r w:rsidRPr="00BF44EE">
        <w:t xml:space="preserve">Fittings                      </w:t>
      </w:r>
      <w:r w:rsidRPr="00BF44EE">
        <w:tab/>
      </w:r>
    </w:p>
    <w:p w:rsidR="007531F9" w:rsidRPr="00BF44EE" w:rsidRDefault="007531F9" w:rsidP="007531F9">
      <w:pPr>
        <w:spacing w:line="360" w:lineRule="auto"/>
        <w:ind w:firstLine="2610"/>
        <w:jc w:val="both"/>
      </w:pPr>
      <w:r w:rsidRPr="00BF44EE">
        <w:t xml:space="preserve">Rehabilitation of Buildings </w:t>
      </w:r>
      <w:r w:rsidRPr="00BF44EE">
        <w:tab/>
        <w:t xml:space="preserve">              </w:t>
      </w:r>
      <w:r w:rsidR="00F562E2">
        <w:t xml:space="preserve">  </w:t>
      </w:r>
      <w:r w:rsidR="00BF44EE" w:rsidRPr="00BF44EE">
        <w:t>190</w:t>
      </w:r>
    </w:p>
    <w:p w:rsidR="007531F9" w:rsidRPr="00BF44EE" w:rsidRDefault="00A31169" w:rsidP="007531F9">
      <w:pPr>
        <w:spacing w:line="360" w:lineRule="auto"/>
        <w:ind w:firstLine="2610"/>
        <w:jc w:val="both"/>
      </w:pPr>
      <w:r>
        <w:rPr>
          <w:noProof/>
        </w:rPr>
        <w:pict>
          <v:shape id="AutoShape 5" o:spid="_x0000_s1027" type="#_x0000_t88" style="position:absolute;left:0;text-align:left;margin-left:269.25pt;margin-top:4.85pt;width:9pt;height:3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EjgQIAAC0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" adj=",11328"/>
        </w:pict>
      </w:r>
      <w:r w:rsidR="007531F9" w:rsidRPr="00BF44EE">
        <w:t xml:space="preserve">Knowledge Enhancement </w:t>
      </w:r>
    </w:p>
    <w:p w:rsidR="007531F9" w:rsidRPr="00BF44EE" w:rsidRDefault="00F562E2" w:rsidP="00BE0896">
      <w:pPr>
        <w:spacing w:line="360" w:lineRule="auto"/>
        <w:ind w:firstLine="2610"/>
        <w:jc w:val="both"/>
      </w:pPr>
      <w:r>
        <w:t xml:space="preserve">&amp; Institutional Development                     </w:t>
      </w:r>
      <w:r w:rsidR="00BE0896">
        <w:t xml:space="preserve"> </w:t>
      </w:r>
      <w:r w:rsidR="00BE0896">
        <w:rPr>
          <w:u w:val="single"/>
        </w:rPr>
        <w:t xml:space="preserve">  </w:t>
      </w:r>
      <w:r>
        <w:rPr>
          <w:u w:val="single"/>
        </w:rPr>
        <w:t>36.1</w:t>
      </w:r>
    </w:p>
    <w:p w:rsidR="007531F9" w:rsidRPr="00BF44EE" w:rsidRDefault="007531F9" w:rsidP="007531F9">
      <w:pPr>
        <w:spacing w:line="360" w:lineRule="auto"/>
        <w:ind w:firstLine="2610"/>
        <w:jc w:val="both"/>
        <w:rPr>
          <w:b/>
          <w:u w:val="double"/>
        </w:rPr>
      </w:pPr>
      <w:r w:rsidRPr="00BF44EE">
        <w:tab/>
      </w:r>
      <w:r w:rsidRPr="00BF44EE">
        <w:tab/>
      </w:r>
      <w:r w:rsidRPr="00BF44EE">
        <w:tab/>
      </w:r>
      <w:r w:rsidRPr="00BF44EE">
        <w:tab/>
      </w:r>
      <w:r w:rsidRPr="00BF44EE">
        <w:tab/>
      </w:r>
      <w:r w:rsidRPr="00BF44EE">
        <w:tab/>
      </w:r>
      <w:r w:rsidR="00BF44EE" w:rsidRPr="00BF44EE">
        <w:t xml:space="preserve"> </w:t>
      </w:r>
      <w:r w:rsidR="00F562E2">
        <w:t xml:space="preserve">   </w:t>
      </w:r>
      <w:r w:rsidR="00BF44EE" w:rsidRPr="00BF44EE">
        <w:rPr>
          <w:b/>
          <w:u w:val="double"/>
        </w:rPr>
        <w:t>62</w:t>
      </w:r>
      <w:r w:rsidR="00F562E2">
        <w:rPr>
          <w:b/>
          <w:u w:val="double"/>
        </w:rPr>
        <w:t xml:space="preserve">8.1 </w:t>
      </w:r>
    </w:p>
    <w:p w:rsidR="007531F9" w:rsidRPr="00314D32" w:rsidRDefault="007531F9" w:rsidP="007531F9">
      <w:pPr>
        <w:spacing w:line="360" w:lineRule="auto"/>
        <w:ind w:firstLine="1800"/>
        <w:jc w:val="both"/>
        <w:rPr>
          <w:b/>
        </w:rPr>
      </w:pPr>
      <w:r>
        <w:rPr>
          <w:b/>
        </w:rPr>
        <w:t>3</w:t>
      </w:r>
      <w:r w:rsidRPr="00314D32">
        <w:rPr>
          <w:b/>
        </w:rPr>
        <w:t>.</w:t>
      </w:r>
      <w:r w:rsidR="006175AD">
        <w:rPr>
          <w:b/>
        </w:rPr>
        <w:t>8</w:t>
      </w:r>
      <w:r w:rsidRPr="00314D32">
        <w:rPr>
          <w:b/>
        </w:rPr>
        <w:t>.2 Recognition of Revenue</w:t>
      </w:r>
    </w:p>
    <w:p w:rsidR="007531F9" w:rsidRDefault="007531F9" w:rsidP="007531F9">
      <w:pPr>
        <w:pStyle w:val="ListParagraph"/>
        <w:numPr>
          <w:ilvl w:val="0"/>
          <w:numId w:val="3"/>
        </w:numPr>
        <w:spacing w:line="360" w:lineRule="auto"/>
        <w:jc w:val="both"/>
      </w:pPr>
      <w:r w:rsidRPr="00314D32">
        <w:t>The Government Recurrent Grants are recognized in the period in whi</w:t>
      </w:r>
      <w:r>
        <w:t>ch they were received. Undergraduate students T</w:t>
      </w:r>
      <w:r w:rsidRPr="00314D32">
        <w:t>uition Fees are recognized as revenue only on the receipt of fees.</w:t>
      </w:r>
    </w:p>
    <w:p w:rsidR="00C324CC" w:rsidRDefault="00C324CC" w:rsidP="007531F9">
      <w:pPr>
        <w:pStyle w:val="ListParagraph"/>
        <w:spacing w:line="360" w:lineRule="auto"/>
        <w:ind w:left="2250"/>
        <w:jc w:val="both"/>
      </w:pPr>
    </w:p>
    <w:p w:rsidR="00C324CC" w:rsidRDefault="00C324CC" w:rsidP="007531F9">
      <w:pPr>
        <w:pStyle w:val="ListParagraph"/>
        <w:spacing w:line="360" w:lineRule="auto"/>
        <w:ind w:left="2250"/>
        <w:jc w:val="both"/>
      </w:pPr>
    </w:p>
    <w:p w:rsidR="00C324CC" w:rsidRDefault="00C324CC" w:rsidP="007531F9">
      <w:pPr>
        <w:pStyle w:val="ListParagraph"/>
        <w:spacing w:line="360" w:lineRule="auto"/>
        <w:ind w:left="2250"/>
        <w:jc w:val="both"/>
      </w:pPr>
    </w:p>
    <w:p w:rsidR="007531F9" w:rsidRDefault="007531F9" w:rsidP="007531F9">
      <w:pPr>
        <w:pStyle w:val="ListParagraph"/>
        <w:spacing w:line="360" w:lineRule="auto"/>
        <w:ind w:left="2250"/>
        <w:jc w:val="both"/>
      </w:pPr>
      <w:r>
        <w:lastRenderedPageBreak/>
        <w:t>Non-recurrent grants from government or other bodies receivable in respect of the acquisition or construction of Fixed Assets are treated as deferred Capital grants and amortized in time with depreciation over the life of the assets.</w:t>
      </w:r>
    </w:p>
    <w:p w:rsidR="007531F9" w:rsidRDefault="007531F9" w:rsidP="007531F9">
      <w:pPr>
        <w:pStyle w:val="ListParagraph"/>
        <w:spacing w:line="360" w:lineRule="auto"/>
        <w:ind w:left="2250"/>
        <w:jc w:val="both"/>
      </w:pPr>
      <w:r>
        <w:t>All other income is credited to the Financial statement in the period in which is earned.</w:t>
      </w:r>
    </w:p>
    <w:p w:rsidR="007531F9" w:rsidRDefault="007531F9" w:rsidP="007531F9">
      <w:pPr>
        <w:pStyle w:val="ListParagraph"/>
        <w:spacing w:line="360" w:lineRule="auto"/>
        <w:ind w:left="2250"/>
        <w:jc w:val="both"/>
      </w:pPr>
      <w:r>
        <w:t xml:space="preserve"> </w:t>
      </w:r>
    </w:p>
    <w:p w:rsidR="007531F9" w:rsidRDefault="007531F9" w:rsidP="007531F9">
      <w:pPr>
        <w:spacing w:line="360" w:lineRule="auto"/>
        <w:ind w:left="2160" w:hanging="270"/>
        <w:jc w:val="both"/>
      </w:pPr>
      <w:r w:rsidRPr="00314D32">
        <w:t xml:space="preserve">(b) Interest income </w:t>
      </w:r>
      <w:r>
        <w:t>received and receivable for the period is recorded as   revenue in the Financial</w:t>
      </w:r>
      <w:r w:rsidRPr="00933FAC">
        <w:t xml:space="preserve"> </w:t>
      </w:r>
      <w:r>
        <w:t xml:space="preserve">Statements as except for the investment income earned on externally restricted endowments, for which only the amount made available for spending is related as revenue. In the year where the investment income earned is in excess of the amount made available for spending, the excess is recorded as a direct increase in endowments.      </w:t>
      </w:r>
    </w:p>
    <w:p w:rsidR="007531F9" w:rsidRPr="00314D32" w:rsidRDefault="007531F9" w:rsidP="007531F9">
      <w:pPr>
        <w:tabs>
          <w:tab w:val="left" w:pos="2250"/>
        </w:tabs>
        <w:spacing w:line="276" w:lineRule="auto"/>
        <w:ind w:left="2250" w:hanging="270"/>
        <w:jc w:val="both"/>
      </w:pPr>
    </w:p>
    <w:p w:rsidR="007531F9" w:rsidRDefault="007531F9" w:rsidP="007531F9">
      <w:pPr>
        <w:spacing w:line="360" w:lineRule="auto"/>
        <w:ind w:left="2250" w:hanging="360"/>
        <w:jc w:val="both"/>
      </w:pPr>
      <w:r>
        <w:t xml:space="preserve">(c) </w:t>
      </w:r>
      <w:r w:rsidRPr="00250122">
        <w:t xml:space="preserve">Sums of </w:t>
      </w:r>
      <w:r w:rsidRPr="00173A58">
        <w:t>Rs.</w:t>
      </w:r>
      <w:r w:rsidR="00173A58" w:rsidRPr="00173A58">
        <w:t>52</w:t>
      </w:r>
      <w:r w:rsidRPr="00173A58">
        <w:t>,</w:t>
      </w:r>
      <w:r w:rsidR="00173A58" w:rsidRPr="00173A58">
        <w:t>277</w:t>
      </w:r>
      <w:r w:rsidRPr="00173A58">
        <w:t>,</w:t>
      </w:r>
      <w:r w:rsidR="00173A58" w:rsidRPr="00173A58">
        <w:t>544</w:t>
      </w:r>
      <w:r w:rsidRPr="00173A58">
        <w:t>,</w:t>
      </w:r>
      <w:r w:rsidR="00173A58" w:rsidRPr="00173A58">
        <w:t xml:space="preserve"> </w:t>
      </w:r>
      <w:r w:rsidRPr="00173A58">
        <w:t>Rs.</w:t>
      </w:r>
      <w:r w:rsidR="00173A58">
        <w:t>4</w:t>
      </w:r>
      <w:r w:rsidRPr="00173A58">
        <w:t>,</w:t>
      </w:r>
      <w:r w:rsidR="00173A58">
        <w:t>325</w:t>
      </w:r>
      <w:r w:rsidRPr="00173A58">
        <w:t>,</w:t>
      </w:r>
      <w:r w:rsidR="00173A58">
        <w:t>971</w:t>
      </w:r>
      <w:r w:rsidRPr="00173A58">
        <w:t xml:space="preserve"> and Rs</w:t>
      </w:r>
      <w:r w:rsidR="00173A58">
        <w:t>.2</w:t>
      </w:r>
      <w:r w:rsidRPr="00173A58">
        <w:t>,</w:t>
      </w:r>
      <w:r w:rsidR="00173A58">
        <w:t>553</w:t>
      </w:r>
      <w:r w:rsidRPr="00173A58">
        <w:t>,</w:t>
      </w:r>
      <w:r w:rsidR="00173A58">
        <w:t>751</w:t>
      </w:r>
      <w:r w:rsidRPr="00250122">
        <w:t xml:space="preserve"> have been received as interest from investments relating to the University of Colombo Development Fund, Centre for Studies of Human Rights, and National Education Research and Evaluation Centre respectively and they are added to the fund.</w:t>
      </w:r>
      <w:r w:rsidRPr="00314D32">
        <w:t xml:space="preserve"> </w:t>
      </w:r>
    </w:p>
    <w:p w:rsidR="007531F9" w:rsidRDefault="007531F9" w:rsidP="007531F9">
      <w:pPr>
        <w:pStyle w:val="ListParagraph"/>
        <w:spacing w:line="276" w:lineRule="auto"/>
        <w:ind w:left="2250"/>
        <w:jc w:val="both"/>
      </w:pPr>
    </w:p>
    <w:p w:rsidR="007531F9" w:rsidRDefault="007531F9" w:rsidP="007531F9">
      <w:pPr>
        <w:tabs>
          <w:tab w:val="left" w:pos="1890"/>
          <w:tab w:val="left" w:pos="2160"/>
        </w:tabs>
        <w:spacing w:line="360" w:lineRule="auto"/>
        <w:ind w:left="2250" w:hanging="360"/>
        <w:jc w:val="both"/>
      </w:pPr>
      <w:r w:rsidRPr="002C0C4D">
        <w:t>(</w:t>
      </w:r>
      <w:r>
        <w:t>d</w:t>
      </w:r>
      <w:r w:rsidRPr="002C0C4D">
        <w:t>)</w:t>
      </w:r>
      <w:r>
        <w:t xml:space="preserve"> The fees on fee-levying courses recognized to the income statement based on the stage of completion of each course as at the end of the year. Lecture fees and payments relating to future periods are shown in the Statement of Financial Position as deferred income.</w:t>
      </w:r>
    </w:p>
    <w:p w:rsidR="007531F9" w:rsidRDefault="007531F9" w:rsidP="007531F9">
      <w:pPr>
        <w:tabs>
          <w:tab w:val="left" w:pos="1890"/>
          <w:tab w:val="left" w:pos="2160"/>
        </w:tabs>
        <w:spacing w:line="360" w:lineRule="auto"/>
        <w:ind w:left="2250" w:hanging="360"/>
        <w:jc w:val="both"/>
      </w:pPr>
      <w:r>
        <w:t xml:space="preserve"> </w:t>
      </w:r>
    </w:p>
    <w:p w:rsidR="007531F9" w:rsidRDefault="007531F9" w:rsidP="007531F9">
      <w:pPr>
        <w:tabs>
          <w:tab w:val="left" w:pos="1800"/>
        </w:tabs>
        <w:spacing w:line="360" w:lineRule="auto"/>
        <w:ind w:left="720" w:firstLine="1080"/>
        <w:jc w:val="both"/>
        <w:rPr>
          <w:b/>
          <w:bCs/>
        </w:rPr>
      </w:pPr>
      <w:r>
        <w:rPr>
          <w:b/>
          <w:bCs/>
        </w:rPr>
        <w:t>3.</w:t>
      </w:r>
      <w:r w:rsidR="006175AD">
        <w:rPr>
          <w:b/>
          <w:bCs/>
        </w:rPr>
        <w:t>8</w:t>
      </w:r>
      <w:r>
        <w:rPr>
          <w:b/>
          <w:bCs/>
        </w:rPr>
        <w:t xml:space="preserve">.3 </w:t>
      </w:r>
      <w:r w:rsidRPr="00A67C5E">
        <w:rPr>
          <w:b/>
          <w:bCs/>
        </w:rPr>
        <w:t>H</w:t>
      </w:r>
      <w:r>
        <w:rPr>
          <w:b/>
          <w:bCs/>
        </w:rPr>
        <w:t>igher Education for the 21</w:t>
      </w:r>
      <w:r w:rsidRPr="00774A95">
        <w:rPr>
          <w:b/>
          <w:bCs/>
          <w:vertAlign w:val="superscript"/>
        </w:rPr>
        <w:t>st</w:t>
      </w:r>
      <w:r>
        <w:rPr>
          <w:b/>
          <w:bCs/>
        </w:rPr>
        <w:t xml:space="preserve"> Century (HETC)</w:t>
      </w:r>
      <w:r w:rsidRPr="00A67C5E">
        <w:rPr>
          <w:b/>
          <w:bCs/>
        </w:rPr>
        <w:t xml:space="preserve"> Grant</w:t>
      </w:r>
    </w:p>
    <w:p w:rsidR="007531F9" w:rsidRDefault="007531F9" w:rsidP="007531F9">
      <w:pPr>
        <w:tabs>
          <w:tab w:val="left" w:pos="2310"/>
        </w:tabs>
        <w:spacing w:line="276" w:lineRule="auto"/>
        <w:ind w:left="1080" w:hanging="360"/>
        <w:jc w:val="both"/>
      </w:pPr>
      <w:r>
        <w:tab/>
      </w:r>
    </w:p>
    <w:p w:rsidR="007531F9" w:rsidRDefault="007531F9" w:rsidP="007531F9">
      <w:pPr>
        <w:tabs>
          <w:tab w:val="left" w:pos="1890"/>
        </w:tabs>
        <w:spacing w:line="360" w:lineRule="auto"/>
        <w:ind w:left="1890" w:hanging="360"/>
        <w:jc w:val="both"/>
      </w:pPr>
      <w:r>
        <w:tab/>
        <w:t>HETC project has provided funds to increase IT, English and soft skill abilities of under graduate students and also in improvement of research and development of Post Graduate Students.</w:t>
      </w:r>
    </w:p>
    <w:p w:rsidR="007531F9" w:rsidRDefault="007531F9" w:rsidP="007531F9">
      <w:pPr>
        <w:tabs>
          <w:tab w:val="left" w:pos="1710"/>
          <w:tab w:val="left" w:pos="1800"/>
        </w:tabs>
        <w:spacing w:line="360" w:lineRule="auto"/>
        <w:ind w:left="1890" w:hanging="360"/>
        <w:jc w:val="both"/>
      </w:pPr>
      <w:r>
        <w:t xml:space="preserve">      Financial contribution of HETC project for the year 2014 is given below. These expenses have not been included in the Financial Statements.</w:t>
      </w:r>
    </w:p>
    <w:p w:rsidR="007531F9" w:rsidRDefault="007531F9" w:rsidP="007531F9">
      <w:pPr>
        <w:tabs>
          <w:tab w:val="left" w:pos="1710"/>
          <w:tab w:val="left" w:pos="1800"/>
        </w:tabs>
        <w:spacing w:line="360" w:lineRule="auto"/>
        <w:ind w:left="2250" w:hanging="360"/>
        <w:jc w:val="both"/>
      </w:pPr>
    </w:p>
    <w:p w:rsidR="00F562E2" w:rsidRDefault="00F562E2" w:rsidP="007531F9">
      <w:pPr>
        <w:tabs>
          <w:tab w:val="left" w:pos="1710"/>
          <w:tab w:val="left" w:pos="1800"/>
        </w:tabs>
        <w:spacing w:line="360" w:lineRule="auto"/>
        <w:ind w:left="2250" w:hanging="360"/>
        <w:jc w:val="both"/>
      </w:pPr>
    </w:p>
    <w:p w:rsidR="00F562E2" w:rsidRDefault="00F562E2" w:rsidP="007531F9">
      <w:pPr>
        <w:tabs>
          <w:tab w:val="left" w:pos="1710"/>
          <w:tab w:val="left" w:pos="1800"/>
        </w:tabs>
        <w:spacing w:line="360" w:lineRule="auto"/>
        <w:ind w:left="2250" w:hanging="360"/>
        <w:jc w:val="both"/>
      </w:pPr>
    </w:p>
    <w:p w:rsidR="007531F9" w:rsidRDefault="007531F9" w:rsidP="007531F9">
      <w:pPr>
        <w:tabs>
          <w:tab w:val="left" w:pos="1950"/>
          <w:tab w:val="left" w:pos="2310"/>
        </w:tabs>
        <w:spacing w:line="360" w:lineRule="auto"/>
        <w:jc w:val="both"/>
      </w:pPr>
      <w:r>
        <w:lastRenderedPageBreak/>
        <w:tab/>
      </w:r>
      <w:r w:rsidRPr="002F4282">
        <w:rPr>
          <w:b/>
        </w:rPr>
        <w:t>Description</w:t>
      </w:r>
      <w:r w:rsidRPr="002F4282">
        <w:rPr>
          <w:b/>
        </w:rPr>
        <w:tab/>
      </w:r>
      <w:r w:rsidRPr="002F4282">
        <w:rPr>
          <w:b/>
        </w:rPr>
        <w:tab/>
      </w:r>
      <w:r w:rsidRPr="002F4282">
        <w:rPr>
          <w:b/>
        </w:rPr>
        <w:tab/>
      </w:r>
      <w:r w:rsidRPr="002F4282">
        <w:rPr>
          <w:b/>
        </w:rPr>
        <w:tab/>
      </w:r>
      <w:r w:rsidRPr="002F4282">
        <w:rPr>
          <w:b/>
        </w:rPr>
        <w:tab/>
        <w:t xml:space="preserve">                   Rs</w:t>
      </w:r>
      <w:r w:rsidRPr="002F4282">
        <w:rPr>
          <w:b/>
        </w:rPr>
        <w:tab/>
      </w:r>
    </w:p>
    <w:p w:rsidR="007531F9" w:rsidRPr="00A946B5" w:rsidRDefault="007531F9" w:rsidP="007531F9">
      <w:pPr>
        <w:tabs>
          <w:tab w:val="left" w:pos="2310"/>
        </w:tabs>
        <w:spacing w:line="360" w:lineRule="auto"/>
        <w:ind w:left="2250" w:hanging="360"/>
        <w:jc w:val="both"/>
      </w:pPr>
      <w:r w:rsidRPr="00A946B5">
        <w:t>University Development Grant</w:t>
      </w:r>
      <w:r w:rsidRPr="00A946B5">
        <w:tab/>
      </w:r>
      <w:r w:rsidRPr="00A946B5">
        <w:tab/>
        <w:t xml:space="preserve">        </w:t>
      </w:r>
      <w:r w:rsidRPr="00A946B5">
        <w:tab/>
      </w:r>
      <w:r w:rsidRPr="00A946B5">
        <w:tab/>
        <w:t xml:space="preserve">13,114,194   </w:t>
      </w:r>
    </w:p>
    <w:p w:rsidR="007531F9" w:rsidRPr="00A946B5" w:rsidRDefault="007531F9" w:rsidP="007531F9">
      <w:pPr>
        <w:tabs>
          <w:tab w:val="left" w:pos="2310"/>
          <w:tab w:val="left" w:pos="2880"/>
          <w:tab w:val="left" w:pos="3600"/>
          <w:tab w:val="left" w:pos="4320"/>
          <w:tab w:val="left" w:pos="5040"/>
          <w:tab w:val="left" w:pos="5760"/>
          <w:tab w:val="left" w:pos="6480"/>
          <w:tab w:val="left" w:pos="7200"/>
          <w:tab w:val="left" w:pos="8055"/>
        </w:tabs>
        <w:spacing w:line="360" w:lineRule="auto"/>
        <w:ind w:left="2250" w:hanging="360"/>
        <w:jc w:val="both"/>
      </w:pPr>
      <w:r w:rsidRPr="00A946B5">
        <w:t xml:space="preserve">Quality Improvement Grant W1  </w:t>
      </w:r>
      <w:r w:rsidRPr="00A946B5">
        <w:tab/>
      </w:r>
      <w:r w:rsidRPr="00A946B5">
        <w:tab/>
        <w:t xml:space="preserve">            11,576,821</w:t>
      </w:r>
    </w:p>
    <w:p w:rsidR="007531F9" w:rsidRPr="00A946B5" w:rsidRDefault="007531F9" w:rsidP="007531F9">
      <w:pPr>
        <w:tabs>
          <w:tab w:val="left" w:pos="2310"/>
          <w:tab w:val="left" w:pos="2880"/>
          <w:tab w:val="left" w:pos="3600"/>
          <w:tab w:val="left" w:pos="4320"/>
          <w:tab w:val="left" w:pos="5040"/>
          <w:tab w:val="left" w:pos="5760"/>
          <w:tab w:val="left" w:pos="6480"/>
          <w:tab w:val="left" w:pos="7200"/>
          <w:tab w:val="left" w:pos="8055"/>
        </w:tabs>
        <w:spacing w:line="360" w:lineRule="auto"/>
        <w:ind w:left="2250" w:hanging="360"/>
        <w:jc w:val="both"/>
      </w:pPr>
      <w:r w:rsidRPr="00A946B5">
        <w:t>Quality Improvement Grant W2</w:t>
      </w:r>
      <w:r w:rsidRPr="00A946B5">
        <w:tab/>
      </w:r>
      <w:r w:rsidRPr="00A946B5">
        <w:tab/>
      </w:r>
      <w:r w:rsidRPr="00A946B5">
        <w:tab/>
        <w:t xml:space="preserve">            11,976,080</w:t>
      </w:r>
    </w:p>
    <w:p w:rsidR="007531F9" w:rsidRPr="00A946B5" w:rsidRDefault="007531F9" w:rsidP="007531F9">
      <w:pPr>
        <w:tabs>
          <w:tab w:val="left" w:pos="2310"/>
          <w:tab w:val="left" w:pos="2880"/>
          <w:tab w:val="left" w:pos="3600"/>
          <w:tab w:val="left" w:pos="4320"/>
          <w:tab w:val="left" w:pos="5040"/>
          <w:tab w:val="left" w:pos="5760"/>
          <w:tab w:val="left" w:pos="6480"/>
          <w:tab w:val="left" w:pos="7200"/>
          <w:tab w:val="left" w:pos="8055"/>
        </w:tabs>
        <w:spacing w:line="360" w:lineRule="auto"/>
        <w:ind w:left="2250" w:hanging="360"/>
        <w:jc w:val="both"/>
      </w:pPr>
      <w:r w:rsidRPr="00A946B5">
        <w:t>Quality Improvement Grant W3</w:t>
      </w:r>
      <w:r w:rsidRPr="00A946B5">
        <w:tab/>
      </w:r>
      <w:r w:rsidRPr="00A946B5">
        <w:tab/>
        <w:t xml:space="preserve">          </w:t>
      </w:r>
      <w:r w:rsidRPr="00A946B5">
        <w:tab/>
      </w:r>
      <w:r w:rsidRPr="00A946B5">
        <w:tab/>
        <w:t>26,416,414</w:t>
      </w:r>
    </w:p>
    <w:p w:rsidR="007531F9" w:rsidRPr="00A946B5" w:rsidRDefault="007531F9" w:rsidP="007531F9">
      <w:pPr>
        <w:tabs>
          <w:tab w:val="left" w:pos="2310"/>
          <w:tab w:val="left" w:pos="2880"/>
          <w:tab w:val="left" w:pos="3600"/>
          <w:tab w:val="left" w:pos="4320"/>
          <w:tab w:val="left" w:pos="5040"/>
          <w:tab w:val="left" w:pos="5760"/>
          <w:tab w:val="left" w:pos="6480"/>
          <w:tab w:val="left" w:pos="7200"/>
          <w:tab w:val="left" w:pos="8055"/>
        </w:tabs>
        <w:spacing w:line="360" w:lineRule="auto"/>
        <w:ind w:left="2250" w:hanging="360"/>
        <w:jc w:val="both"/>
      </w:pPr>
      <w:r w:rsidRPr="00A946B5">
        <w:t>Quality Improvement Grant W4</w:t>
      </w:r>
      <w:r w:rsidRPr="00A946B5">
        <w:tab/>
      </w:r>
      <w:r w:rsidRPr="00A946B5">
        <w:tab/>
        <w:t xml:space="preserve">          </w:t>
      </w:r>
      <w:r w:rsidRPr="00A946B5">
        <w:tab/>
      </w:r>
      <w:r w:rsidRPr="00A946B5">
        <w:tab/>
        <w:t xml:space="preserve">  5,622,949</w:t>
      </w:r>
    </w:p>
    <w:p w:rsidR="007531F9" w:rsidRPr="00A4198C" w:rsidRDefault="007531F9" w:rsidP="007531F9">
      <w:pPr>
        <w:tabs>
          <w:tab w:val="left" w:pos="2310"/>
          <w:tab w:val="left" w:pos="2880"/>
          <w:tab w:val="left" w:pos="3600"/>
          <w:tab w:val="left" w:pos="4320"/>
          <w:tab w:val="left" w:pos="5040"/>
          <w:tab w:val="left" w:pos="5760"/>
          <w:tab w:val="left" w:pos="6225"/>
          <w:tab w:val="left" w:pos="6300"/>
          <w:tab w:val="left" w:pos="6480"/>
          <w:tab w:val="left" w:pos="8055"/>
        </w:tabs>
        <w:spacing w:line="360" w:lineRule="auto"/>
        <w:ind w:left="2250" w:hanging="360"/>
        <w:jc w:val="both"/>
      </w:pPr>
      <w:r w:rsidRPr="00A946B5">
        <w:t xml:space="preserve">External Degree </w:t>
      </w:r>
      <w:proofErr w:type="spellStart"/>
      <w:r w:rsidRPr="00A946B5">
        <w:t>Programme</w:t>
      </w:r>
      <w:proofErr w:type="spellEnd"/>
      <w:r w:rsidRPr="00A946B5">
        <w:tab/>
      </w:r>
      <w:r w:rsidRPr="00A946B5">
        <w:tab/>
      </w:r>
      <w:r w:rsidRPr="00A946B5">
        <w:tab/>
      </w:r>
      <w:r w:rsidRPr="00A946B5">
        <w:tab/>
      </w:r>
      <w:r w:rsidRPr="00A946B5">
        <w:tab/>
        <w:t xml:space="preserve">              7,515,852</w:t>
      </w:r>
    </w:p>
    <w:p w:rsidR="007531F9" w:rsidRPr="00A4198C" w:rsidRDefault="007531F9" w:rsidP="007531F9">
      <w:pPr>
        <w:tabs>
          <w:tab w:val="left" w:pos="2310"/>
          <w:tab w:val="left" w:pos="2880"/>
          <w:tab w:val="left" w:pos="3600"/>
          <w:tab w:val="left" w:pos="4320"/>
          <w:tab w:val="left" w:pos="5040"/>
          <w:tab w:val="left" w:pos="5760"/>
          <w:tab w:val="left" w:pos="6225"/>
          <w:tab w:val="left" w:pos="6300"/>
          <w:tab w:val="left" w:pos="6480"/>
          <w:tab w:val="left" w:pos="8055"/>
        </w:tabs>
        <w:spacing w:line="360" w:lineRule="auto"/>
        <w:ind w:left="2250" w:hanging="360"/>
        <w:jc w:val="both"/>
      </w:pPr>
      <w:r w:rsidRPr="00A4198C">
        <w:t xml:space="preserve">IDAS Grant (Arts &amp; Sri </w:t>
      </w:r>
      <w:proofErr w:type="spellStart"/>
      <w:r w:rsidRPr="00A4198C">
        <w:t>Palee</w:t>
      </w:r>
      <w:proofErr w:type="spellEnd"/>
      <w:r w:rsidRPr="00A4198C">
        <w:t>)</w:t>
      </w:r>
      <w:r>
        <w:tab/>
      </w:r>
      <w:r>
        <w:tab/>
      </w:r>
      <w:r>
        <w:tab/>
      </w:r>
      <w:r>
        <w:tab/>
      </w:r>
      <w:r>
        <w:tab/>
        <w:t xml:space="preserve">            </w:t>
      </w:r>
      <w:r w:rsidRPr="00C324CC">
        <w:rPr>
          <w:u w:val="single"/>
        </w:rPr>
        <w:t xml:space="preserve">  2,070,512</w:t>
      </w:r>
    </w:p>
    <w:p w:rsidR="007531F9" w:rsidRDefault="007531F9" w:rsidP="00F562E2">
      <w:pPr>
        <w:tabs>
          <w:tab w:val="left" w:pos="2310"/>
        </w:tabs>
        <w:spacing w:line="360" w:lineRule="auto"/>
        <w:ind w:left="2250" w:hanging="360"/>
        <w:jc w:val="both"/>
        <w:rPr>
          <w:b/>
          <w:u w:val="double"/>
        </w:rPr>
      </w:pPr>
      <w:r w:rsidRPr="008167E3">
        <w:rPr>
          <w:b/>
          <w:bCs/>
        </w:rPr>
        <w:t xml:space="preserve">Total  </w:t>
      </w:r>
      <w:r w:rsidRPr="008167E3">
        <w:rPr>
          <w:b/>
          <w:bCs/>
        </w:rPr>
        <w:tab/>
      </w:r>
      <w:r>
        <w:tab/>
      </w:r>
      <w:r>
        <w:tab/>
      </w:r>
      <w:r>
        <w:tab/>
      </w:r>
      <w:r>
        <w:tab/>
        <w:t xml:space="preserve">        </w:t>
      </w:r>
      <w:r>
        <w:tab/>
      </w:r>
      <w:r>
        <w:tab/>
      </w:r>
      <w:r>
        <w:rPr>
          <w:b/>
          <w:u w:val="double"/>
        </w:rPr>
        <w:t>78</w:t>
      </w:r>
      <w:r w:rsidRPr="008167E3">
        <w:rPr>
          <w:b/>
          <w:u w:val="double"/>
        </w:rPr>
        <w:t>,</w:t>
      </w:r>
      <w:r>
        <w:rPr>
          <w:b/>
          <w:u w:val="double"/>
        </w:rPr>
        <w:t>292</w:t>
      </w:r>
      <w:r w:rsidRPr="008167E3">
        <w:rPr>
          <w:b/>
          <w:u w:val="double"/>
        </w:rPr>
        <w:t>,</w:t>
      </w:r>
      <w:r>
        <w:rPr>
          <w:b/>
          <w:u w:val="double"/>
        </w:rPr>
        <w:t>822</w:t>
      </w:r>
    </w:p>
    <w:p w:rsidR="00F562E2" w:rsidRPr="00314D32" w:rsidRDefault="00F562E2" w:rsidP="00F562E2">
      <w:pPr>
        <w:tabs>
          <w:tab w:val="left" w:pos="2310"/>
        </w:tabs>
        <w:spacing w:line="360" w:lineRule="auto"/>
        <w:ind w:left="2250" w:hanging="360"/>
        <w:jc w:val="both"/>
      </w:pPr>
    </w:p>
    <w:p w:rsidR="007531F9" w:rsidRPr="00314D32" w:rsidRDefault="007531F9" w:rsidP="007531F9">
      <w:pPr>
        <w:spacing w:line="360" w:lineRule="auto"/>
        <w:ind w:firstLine="1800"/>
        <w:jc w:val="both"/>
        <w:rPr>
          <w:b/>
        </w:rPr>
      </w:pPr>
      <w:r>
        <w:rPr>
          <w:b/>
        </w:rPr>
        <w:t>3</w:t>
      </w:r>
      <w:r w:rsidRPr="00314D32">
        <w:rPr>
          <w:b/>
        </w:rPr>
        <w:t>.</w:t>
      </w:r>
      <w:r w:rsidR="006175AD">
        <w:rPr>
          <w:b/>
        </w:rPr>
        <w:t>8</w:t>
      </w:r>
      <w:r w:rsidRPr="00314D32">
        <w:rPr>
          <w:b/>
        </w:rPr>
        <w:t>.</w:t>
      </w:r>
      <w:r>
        <w:rPr>
          <w:b/>
        </w:rPr>
        <w:t>4</w:t>
      </w:r>
      <w:r w:rsidRPr="00314D32">
        <w:rPr>
          <w:b/>
        </w:rPr>
        <w:t xml:space="preserve"> Recognition of Expenses </w:t>
      </w:r>
    </w:p>
    <w:p w:rsidR="007531F9" w:rsidRDefault="007531F9" w:rsidP="007531F9">
      <w:pPr>
        <w:spacing w:line="360" w:lineRule="auto"/>
        <w:ind w:left="2160" w:hanging="360"/>
        <w:jc w:val="both"/>
      </w:pPr>
    </w:p>
    <w:p w:rsidR="007531F9" w:rsidRPr="00314D32" w:rsidRDefault="007531F9" w:rsidP="007531F9">
      <w:pPr>
        <w:spacing w:line="360" w:lineRule="auto"/>
        <w:ind w:left="2160" w:hanging="360"/>
        <w:jc w:val="both"/>
      </w:pPr>
      <w:r w:rsidRPr="00314D32">
        <w:t>(a)</w:t>
      </w:r>
      <w:r w:rsidRPr="00314D32">
        <w:tab/>
        <w:t>All expenses incurred in respect of undergraduate education have been charged to the government recurrent grant.</w:t>
      </w:r>
    </w:p>
    <w:p w:rsidR="007531F9" w:rsidRPr="00314D32" w:rsidRDefault="007531F9" w:rsidP="007531F9">
      <w:pPr>
        <w:spacing w:line="360" w:lineRule="auto"/>
        <w:ind w:left="2160" w:hanging="360"/>
        <w:jc w:val="both"/>
      </w:pPr>
      <w:r w:rsidRPr="00314D32">
        <w:t>(b)</w:t>
      </w:r>
      <w:r w:rsidRPr="00314D32">
        <w:rPr>
          <w:b/>
        </w:rPr>
        <w:tab/>
      </w:r>
      <w:r w:rsidRPr="00314D32">
        <w:t>All expenditure incurred in the acquisition, or improvement of assets of a permanent nature in order to carry on or increase the lea</w:t>
      </w:r>
      <w:r>
        <w:t>rning capacity of the students</w:t>
      </w:r>
      <w:r w:rsidRPr="00314D32">
        <w:t xml:space="preserve"> has been treated as capital expenditure.</w:t>
      </w:r>
    </w:p>
    <w:p w:rsidR="007531F9" w:rsidRPr="00314D32" w:rsidRDefault="007531F9" w:rsidP="007531F9">
      <w:pPr>
        <w:spacing w:line="360" w:lineRule="auto"/>
        <w:ind w:left="2160" w:hanging="360"/>
        <w:jc w:val="both"/>
      </w:pPr>
      <w:r>
        <w:t>(c) Expenses are recognized in the income statement on the basis of direct association between cost incurred in the running of the University and in maintaining the capital assets in a state of efficiency has been charged to revenue in arriving at the surplus/deficit for the year.</w:t>
      </w:r>
    </w:p>
    <w:p w:rsidR="007531F9" w:rsidRDefault="007531F9" w:rsidP="007531F9">
      <w:pPr>
        <w:tabs>
          <w:tab w:val="left" w:pos="720"/>
          <w:tab w:val="left" w:pos="1440"/>
          <w:tab w:val="left" w:pos="1935"/>
        </w:tabs>
        <w:ind w:hanging="360"/>
        <w:jc w:val="both"/>
        <w:rPr>
          <w:b/>
        </w:rPr>
      </w:pPr>
    </w:p>
    <w:p w:rsidR="00F562E2" w:rsidRDefault="00F562E2" w:rsidP="007531F9">
      <w:pPr>
        <w:tabs>
          <w:tab w:val="left" w:pos="720"/>
          <w:tab w:val="left" w:pos="1440"/>
          <w:tab w:val="left" w:pos="1935"/>
        </w:tabs>
        <w:ind w:hanging="360"/>
        <w:jc w:val="both"/>
        <w:rPr>
          <w:b/>
        </w:rPr>
      </w:pPr>
    </w:p>
    <w:p w:rsidR="007531F9" w:rsidRPr="00314D32" w:rsidRDefault="007531F9" w:rsidP="007531F9">
      <w:pPr>
        <w:pStyle w:val="BodyTextIndent"/>
        <w:ind w:left="1440" w:firstLine="360"/>
      </w:pPr>
      <w:r>
        <w:rPr>
          <w:b/>
          <w:bCs/>
        </w:rPr>
        <w:t>3</w:t>
      </w:r>
      <w:r w:rsidRPr="00314D32">
        <w:rPr>
          <w:b/>
          <w:bCs/>
        </w:rPr>
        <w:t>.</w:t>
      </w:r>
      <w:r w:rsidR="006175AD">
        <w:rPr>
          <w:b/>
          <w:bCs/>
        </w:rPr>
        <w:t>9</w:t>
      </w:r>
      <w:r>
        <w:rPr>
          <w:b/>
          <w:bCs/>
        </w:rPr>
        <w:t xml:space="preserve"> </w:t>
      </w:r>
      <w:r w:rsidRPr="00314D32">
        <w:rPr>
          <w:b/>
          <w:bCs/>
        </w:rPr>
        <w:t>Liquidity Position</w:t>
      </w:r>
      <w:r>
        <w:rPr>
          <w:b/>
          <w:bCs/>
        </w:rPr>
        <w:tab/>
      </w:r>
      <w:r>
        <w:rPr>
          <w:b/>
          <w:bCs/>
        </w:rPr>
        <w:tab/>
      </w:r>
      <w:r>
        <w:rPr>
          <w:b/>
          <w:bCs/>
        </w:rPr>
        <w:tab/>
      </w:r>
      <w:r>
        <w:rPr>
          <w:b/>
          <w:bCs/>
        </w:rPr>
        <w:tab/>
        <w:t xml:space="preserve">     </w:t>
      </w:r>
      <w:r w:rsidRPr="00E73B6F">
        <w:rPr>
          <w:b/>
          <w:bCs/>
        </w:rPr>
        <w:t>Rs.</w:t>
      </w:r>
    </w:p>
    <w:tbl>
      <w:tblPr>
        <w:tblW w:w="6652" w:type="dxa"/>
        <w:tblInd w:w="1188" w:type="dxa"/>
        <w:tblLook w:val="0000"/>
      </w:tblPr>
      <w:tblGrid>
        <w:gridCol w:w="670"/>
        <w:gridCol w:w="4143"/>
        <w:gridCol w:w="1839"/>
      </w:tblGrid>
      <w:tr w:rsidR="001941C5" w:rsidRPr="0079752C" w:rsidTr="00EF0F56">
        <w:trPr>
          <w:trHeight w:val="480"/>
        </w:trPr>
        <w:tc>
          <w:tcPr>
            <w:tcW w:w="670" w:type="dxa"/>
            <w:tcBorders>
              <w:top w:val="nil"/>
              <w:left w:val="nil"/>
              <w:bottom w:val="nil"/>
              <w:right w:val="nil"/>
            </w:tcBorders>
            <w:shd w:val="clear" w:color="auto" w:fill="auto"/>
            <w:noWrap/>
            <w:vAlign w:val="bottom"/>
          </w:tcPr>
          <w:p w:rsidR="001941C5" w:rsidRPr="00314D32" w:rsidRDefault="001941C5" w:rsidP="00EF0F56">
            <w:pPr>
              <w:jc w:val="both"/>
            </w:pPr>
          </w:p>
        </w:tc>
        <w:tc>
          <w:tcPr>
            <w:tcW w:w="4143" w:type="dxa"/>
            <w:tcBorders>
              <w:top w:val="nil"/>
              <w:left w:val="nil"/>
              <w:bottom w:val="nil"/>
              <w:right w:val="nil"/>
            </w:tcBorders>
            <w:shd w:val="clear" w:color="auto" w:fill="auto"/>
            <w:noWrap/>
            <w:vAlign w:val="bottom"/>
          </w:tcPr>
          <w:p w:rsidR="001941C5" w:rsidRPr="0079752C" w:rsidRDefault="001941C5" w:rsidP="00686F6E">
            <w:pPr>
              <w:jc w:val="both"/>
            </w:pPr>
            <w:r w:rsidRPr="0079752C">
              <w:t>Cash &amp; Bank Balance</w:t>
            </w:r>
          </w:p>
        </w:tc>
        <w:tc>
          <w:tcPr>
            <w:tcW w:w="1839" w:type="dxa"/>
            <w:tcBorders>
              <w:top w:val="nil"/>
              <w:left w:val="nil"/>
              <w:bottom w:val="nil"/>
              <w:right w:val="nil"/>
            </w:tcBorders>
            <w:shd w:val="clear" w:color="auto" w:fill="auto"/>
            <w:noWrap/>
            <w:vAlign w:val="bottom"/>
          </w:tcPr>
          <w:p w:rsidR="001941C5" w:rsidRPr="00173A58" w:rsidRDefault="001941C5" w:rsidP="00BE10B9">
            <w:pPr>
              <w:jc w:val="right"/>
            </w:pPr>
            <w:r w:rsidRPr="00173A58">
              <w:t>131,8</w:t>
            </w:r>
            <w:r w:rsidR="00BE10B9">
              <w:t>05</w:t>
            </w:r>
            <w:r w:rsidRPr="00173A58">
              <w:t>,</w:t>
            </w:r>
            <w:r w:rsidR="00BE10B9">
              <w:t>220</w:t>
            </w:r>
          </w:p>
        </w:tc>
      </w:tr>
      <w:tr w:rsidR="001941C5" w:rsidRPr="0079752C" w:rsidTr="00EF0F56">
        <w:trPr>
          <w:trHeight w:val="452"/>
        </w:trPr>
        <w:tc>
          <w:tcPr>
            <w:tcW w:w="670" w:type="dxa"/>
            <w:tcBorders>
              <w:top w:val="nil"/>
              <w:left w:val="nil"/>
              <w:bottom w:val="nil"/>
              <w:right w:val="nil"/>
            </w:tcBorders>
            <w:shd w:val="clear" w:color="auto" w:fill="auto"/>
            <w:noWrap/>
            <w:vAlign w:val="bottom"/>
          </w:tcPr>
          <w:p w:rsidR="001941C5" w:rsidRPr="0079752C" w:rsidRDefault="001941C5" w:rsidP="00EF0F56">
            <w:pPr>
              <w:jc w:val="both"/>
            </w:pPr>
          </w:p>
          <w:p w:rsidR="001941C5" w:rsidRPr="0079752C" w:rsidRDefault="001941C5" w:rsidP="00EF0F56">
            <w:pPr>
              <w:jc w:val="both"/>
            </w:pPr>
          </w:p>
        </w:tc>
        <w:tc>
          <w:tcPr>
            <w:tcW w:w="4143" w:type="dxa"/>
            <w:tcBorders>
              <w:top w:val="nil"/>
              <w:left w:val="nil"/>
              <w:bottom w:val="nil"/>
              <w:right w:val="nil"/>
            </w:tcBorders>
            <w:shd w:val="clear" w:color="auto" w:fill="auto"/>
            <w:noWrap/>
            <w:vAlign w:val="bottom"/>
          </w:tcPr>
          <w:p w:rsidR="001941C5" w:rsidRPr="0079752C" w:rsidRDefault="001941C5" w:rsidP="00686F6E">
            <w:pPr>
              <w:jc w:val="both"/>
            </w:pPr>
            <w:r w:rsidRPr="0079752C">
              <w:t>Stocks</w:t>
            </w:r>
          </w:p>
        </w:tc>
        <w:tc>
          <w:tcPr>
            <w:tcW w:w="1839" w:type="dxa"/>
            <w:tcBorders>
              <w:top w:val="nil"/>
              <w:left w:val="nil"/>
              <w:bottom w:val="nil"/>
              <w:right w:val="nil"/>
            </w:tcBorders>
            <w:shd w:val="clear" w:color="auto" w:fill="auto"/>
            <w:noWrap/>
            <w:vAlign w:val="bottom"/>
          </w:tcPr>
          <w:p w:rsidR="001941C5" w:rsidRPr="00173A58" w:rsidRDefault="001941C5" w:rsidP="00686F6E">
            <w:pPr>
              <w:jc w:val="right"/>
            </w:pPr>
            <w:r w:rsidRPr="00173A58">
              <w:t>14,876,031</w:t>
            </w:r>
          </w:p>
        </w:tc>
      </w:tr>
      <w:tr w:rsidR="001941C5" w:rsidRPr="0079752C" w:rsidTr="00EF0F56">
        <w:trPr>
          <w:trHeight w:val="256"/>
        </w:trPr>
        <w:tc>
          <w:tcPr>
            <w:tcW w:w="670" w:type="dxa"/>
            <w:tcBorders>
              <w:top w:val="nil"/>
              <w:left w:val="nil"/>
              <w:bottom w:val="nil"/>
              <w:right w:val="nil"/>
            </w:tcBorders>
            <w:shd w:val="clear" w:color="auto" w:fill="auto"/>
            <w:noWrap/>
            <w:vAlign w:val="bottom"/>
          </w:tcPr>
          <w:p w:rsidR="001941C5" w:rsidRPr="0079752C" w:rsidRDefault="001941C5" w:rsidP="00EF0F56">
            <w:pPr>
              <w:jc w:val="both"/>
            </w:pPr>
          </w:p>
          <w:p w:rsidR="001941C5" w:rsidRPr="0079752C" w:rsidRDefault="001941C5" w:rsidP="00EF0F56">
            <w:pPr>
              <w:jc w:val="both"/>
            </w:pPr>
          </w:p>
        </w:tc>
        <w:tc>
          <w:tcPr>
            <w:tcW w:w="4143" w:type="dxa"/>
            <w:tcBorders>
              <w:top w:val="nil"/>
              <w:left w:val="nil"/>
              <w:bottom w:val="nil"/>
              <w:right w:val="nil"/>
            </w:tcBorders>
            <w:shd w:val="clear" w:color="auto" w:fill="auto"/>
            <w:noWrap/>
            <w:vAlign w:val="bottom"/>
          </w:tcPr>
          <w:p w:rsidR="001941C5" w:rsidRPr="0079752C" w:rsidRDefault="001941C5" w:rsidP="00686F6E">
            <w:pPr>
              <w:jc w:val="both"/>
            </w:pPr>
            <w:r w:rsidRPr="0079752C">
              <w:t>Debtors</w:t>
            </w:r>
          </w:p>
        </w:tc>
        <w:tc>
          <w:tcPr>
            <w:tcW w:w="1839" w:type="dxa"/>
            <w:tcBorders>
              <w:top w:val="nil"/>
              <w:left w:val="nil"/>
              <w:bottom w:val="nil"/>
              <w:right w:val="nil"/>
            </w:tcBorders>
            <w:shd w:val="clear" w:color="auto" w:fill="auto"/>
            <w:noWrap/>
            <w:vAlign w:val="bottom"/>
          </w:tcPr>
          <w:p w:rsidR="001941C5" w:rsidRPr="00173A58" w:rsidRDefault="00BE10B9" w:rsidP="00BE10B9">
            <w:pPr>
              <w:jc w:val="right"/>
            </w:pPr>
            <w:r>
              <w:t>241</w:t>
            </w:r>
            <w:r w:rsidR="001941C5">
              <w:t>,7</w:t>
            </w:r>
            <w:r>
              <w:t>13</w:t>
            </w:r>
            <w:r w:rsidR="001941C5">
              <w:t>,</w:t>
            </w:r>
            <w:r>
              <w:t>803</w:t>
            </w:r>
          </w:p>
        </w:tc>
      </w:tr>
      <w:tr w:rsidR="001941C5" w:rsidRPr="0079752C" w:rsidTr="00EF0F56">
        <w:trPr>
          <w:trHeight w:val="452"/>
        </w:trPr>
        <w:tc>
          <w:tcPr>
            <w:tcW w:w="670" w:type="dxa"/>
            <w:tcBorders>
              <w:top w:val="nil"/>
              <w:left w:val="nil"/>
              <w:bottom w:val="nil"/>
              <w:right w:val="nil"/>
            </w:tcBorders>
            <w:shd w:val="clear" w:color="auto" w:fill="auto"/>
            <w:noWrap/>
            <w:vAlign w:val="bottom"/>
          </w:tcPr>
          <w:p w:rsidR="001941C5" w:rsidRPr="0079752C" w:rsidRDefault="001941C5" w:rsidP="00EF0F56">
            <w:pPr>
              <w:jc w:val="both"/>
            </w:pPr>
          </w:p>
        </w:tc>
        <w:tc>
          <w:tcPr>
            <w:tcW w:w="4143" w:type="dxa"/>
            <w:tcBorders>
              <w:top w:val="nil"/>
              <w:left w:val="nil"/>
              <w:bottom w:val="nil"/>
              <w:right w:val="nil"/>
            </w:tcBorders>
            <w:shd w:val="clear" w:color="auto" w:fill="auto"/>
            <w:noWrap/>
            <w:vAlign w:val="bottom"/>
          </w:tcPr>
          <w:p w:rsidR="001941C5" w:rsidRPr="0079752C" w:rsidRDefault="001941C5" w:rsidP="00686F6E">
            <w:pPr>
              <w:jc w:val="both"/>
            </w:pPr>
            <w:r w:rsidRPr="0079752C">
              <w:t>Creditors</w:t>
            </w:r>
          </w:p>
        </w:tc>
        <w:tc>
          <w:tcPr>
            <w:tcW w:w="1839" w:type="dxa"/>
            <w:tcBorders>
              <w:top w:val="nil"/>
              <w:left w:val="nil"/>
              <w:bottom w:val="nil"/>
              <w:right w:val="nil"/>
            </w:tcBorders>
            <w:shd w:val="clear" w:color="auto" w:fill="auto"/>
            <w:noWrap/>
            <w:vAlign w:val="bottom"/>
          </w:tcPr>
          <w:p w:rsidR="001941C5" w:rsidRPr="00173A58" w:rsidRDefault="001941C5" w:rsidP="00BE10B9">
            <w:pPr>
              <w:jc w:val="right"/>
            </w:pPr>
            <w:r>
              <w:t>(</w:t>
            </w:r>
            <w:r w:rsidR="00BE10B9">
              <w:t>435</w:t>
            </w:r>
            <w:r>
              <w:t>,</w:t>
            </w:r>
            <w:r w:rsidR="00BE10B9">
              <w:t>872</w:t>
            </w:r>
            <w:r>
              <w:t>,</w:t>
            </w:r>
            <w:r w:rsidR="00BE10B9">
              <w:t>626</w:t>
            </w:r>
            <w:r w:rsidRPr="00173A58">
              <w:t>)</w:t>
            </w:r>
          </w:p>
        </w:tc>
      </w:tr>
      <w:tr w:rsidR="001941C5" w:rsidRPr="0050568C" w:rsidTr="00EF0F56">
        <w:trPr>
          <w:trHeight w:val="533"/>
        </w:trPr>
        <w:tc>
          <w:tcPr>
            <w:tcW w:w="670" w:type="dxa"/>
            <w:tcBorders>
              <w:top w:val="nil"/>
              <w:left w:val="nil"/>
              <w:bottom w:val="nil"/>
              <w:right w:val="nil"/>
            </w:tcBorders>
            <w:shd w:val="clear" w:color="auto" w:fill="auto"/>
            <w:noWrap/>
            <w:vAlign w:val="bottom"/>
          </w:tcPr>
          <w:p w:rsidR="001941C5" w:rsidRPr="0079752C" w:rsidRDefault="001941C5" w:rsidP="00EF0F56">
            <w:pPr>
              <w:jc w:val="both"/>
            </w:pPr>
          </w:p>
        </w:tc>
        <w:tc>
          <w:tcPr>
            <w:tcW w:w="4143" w:type="dxa"/>
            <w:tcBorders>
              <w:top w:val="nil"/>
              <w:left w:val="nil"/>
              <w:bottom w:val="nil"/>
              <w:right w:val="nil"/>
            </w:tcBorders>
            <w:shd w:val="clear" w:color="auto" w:fill="auto"/>
            <w:noWrap/>
            <w:vAlign w:val="bottom"/>
          </w:tcPr>
          <w:p w:rsidR="001941C5" w:rsidRPr="0079752C" w:rsidRDefault="001941C5" w:rsidP="00686F6E">
            <w:pPr>
              <w:jc w:val="both"/>
              <w:rPr>
                <w:b/>
              </w:rPr>
            </w:pPr>
            <w:r w:rsidRPr="0079752C">
              <w:rPr>
                <w:b/>
              </w:rPr>
              <w:t xml:space="preserve">Working Capital </w:t>
            </w:r>
          </w:p>
        </w:tc>
        <w:tc>
          <w:tcPr>
            <w:tcW w:w="1839" w:type="dxa"/>
            <w:tcBorders>
              <w:top w:val="single" w:sz="4" w:space="0" w:color="auto"/>
              <w:left w:val="nil"/>
              <w:bottom w:val="double" w:sz="6" w:space="0" w:color="auto"/>
              <w:right w:val="nil"/>
            </w:tcBorders>
            <w:shd w:val="clear" w:color="auto" w:fill="auto"/>
            <w:noWrap/>
            <w:vAlign w:val="bottom"/>
          </w:tcPr>
          <w:p w:rsidR="001941C5" w:rsidRPr="00173A58" w:rsidRDefault="00BE10B9" w:rsidP="00686F6E">
            <w:pPr>
              <w:jc w:val="right"/>
              <w:rPr>
                <w:b/>
              </w:rPr>
            </w:pPr>
            <w:r>
              <w:rPr>
                <w:b/>
              </w:rPr>
              <w:t>(47,477,572)</w:t>
            </w:r>
          </w:p>
        </w:tc>
      </w:tr>
    </w:tbl>
    <w:p w:rsidR="007531F9" w:rsidRDefault="007531F9" w:rsidP="007531F9">
      <w:pPr>
        <w:pStyle w:val="BodyTextIndent"/>
        <w:tabs>
          <w:tab w:val="left" w:pos="6240"/>
        </w:tabs>
        <w:rPr>
          <w:b/>
          <w:bCs/>
        </w:rPr>
      </w:pPr>
    </w:p>
    <w:p w:rsidR="00F562E2" w:rsidRDefault="00F562E2" w:rsidP="007531F9">
      <w:pPr>
        <w:pStyle w:val="BodyTextIndent"/>
        <w:tabs>
          <w:tab w:val="left" w:pos="6240"/>
        </w:tabs>
        <w:rPr>
          <w:b/>
          <w:bCs/>
        </w:rPr>
      </w:pPr>
    </w:p>
    <w:p w:rsidR="00F562E2" w:rsidRDefault="00F562E2" w:rsidP="007531F9">
      <w:pPr>
        <w:pStyle w:val="BodyTextIndent"/>
        <w:tabs>
          <w:tab w:val="left" w:pos="6240"/>
        </w:tabs>
        <w:rPr>
          <w:b/>
          <w:bCs/>
        </w:rPr>
      </w:pPr>
    </w:p>
    <w:p w:rsidR="00F562E2" w:rsidRDefault="00F562E2" w:rsidP="007531F9">
      <w:pPr>
        <w:pStyle w:val="BodyTextIndent"/>
        <w:tabs>
          <w:tab w:val="left" w:pos="6240"/>
        </w:tabs>
        <w:rPr>
          <w:b/>
          <w:bCs/>
        </w:rPr>
      </w:pPr>
    </w:p>
    <w:p w:rsidR="00F562E2" w:rsidRPr="00314D32" w:rsidRDefault="00F562E2" w:rsidP="007531F9">
      <w:pPr>
        <w:pStyle w:val="BodyTextIndent"/>
        <w:tabs>
          <w:tab w:val="left" w:pos="6240"/>
        </w:tabs>
        <w:rPr>
          <w:b/>
          <w:bCs/>
        </w:rPr>
      </w:pPr>
    </w:p>
    <w:p w:rsidR="007531F9" w:rsidRPr="00314D32" w:rsidRDefault="007531F9" w:rsidP="007531F9">
      <w:pPr>
        <w:pStyle w:val="BodyTextIndent"/>
        <w:tabs>
          <w:tab w:val="left" w:pos="1800"/>
          <w:tab w:val="left" w:pos="6240"/>
          <w:tab w:val="left" w:pos="7650"/>
        </w:tabs>
        <w:ind w:left="0" w:firstLine="1800"/>
        <w:rPr>
          <w:b/>
          <w:bCs/>
        </w:rPr>
      </w:pPr>
      <w:r>
        <w:rPr>
          <w:b/>
          <w:bCs/>
        </w:rPr>
        <w:lastRenderedPageBreak/>
        <w:t>3</w:t>
      </w:r>
      <w:r w:rsidRPr="00314D32">
        <w:rPr>
          <w:b/>
          <w:bCs/>
        </w:rPr>
        <w:t>.1</w:t>
      </w:r>
      <w:r w:rsidR="006175AD">
        <w:rPr>
          <w:b/>
          <w:bCs/>
        </w:rPr>
        <w:t>0</w:t>
      </w:r>
      <w:r w:rsidRPr="00314D32">
        <w:rPr>
          <w:b/>
          <w:bCs/>
        </w:rPr>
        <w:t xml:space="preserve"> Foreign Currencies</w:t>
      </w:r>
      <w:r w:rsidRPr="00314D32">
        <w:rPr>
          <w:b/>
          <w:bCs/>
        </w:rPr>
        <w:tab/>
      </w:r>
    </w:p>
    <w:p w:rsidR="007531F9" w:rsidRDefault="007531F9" w:rsidP="007531F9">
      <w:pPr>
        <w:pStyle w:val="BodyTextIndent"/>
        <w:ind w:left="1890"/>
        <w:rPr>
          <w:bCs/>
        </w:rPr>
      </w:pPr>
      <w:r w:rsidRPr="00314D32">
        <w:rPr>
          <w:bCs/>
        </w:rPr>
        <w:t>Transactions denominated in foreign currencies are recorded at the exchange rate rul</w:t>
      </w:r>
      <w:r>
        <w:rPr>
          <w:bCs/>
        </w:rPr>
        <w:t>ing at the date of transaction.</w:t>
      </w:r>
      <w:r w:rsidRPr="00314D32">
        <w:rPr>
          <w:bCs/>
        </w:rPr>
        <w:t xml:space="preserve"> Bank balances in foreign currencies are converted at the rate of exchange ruling at the</w:t>
      </w:r>
      <w:r>
        <w:rPr>
          <w:bCs/>
        </w:rPr>
        <w:t xml:space="preserve"> date of</w:t>
      </w:r>
      <w:r w:rsidRPr="00314D32">
        <w:rPr>
          <w:bCs/>
        </w:rPr>
        <w:t xml:space="preserve"> </w:t>
      </w:r>
      <w:r w:rsidRPr="00314D32">
        <w:t>Statement of Financial Position</w:t>
      </w:r>
      <w:r w:rsidRPr="00314D32">
        <w:rPr>
          <w:bCs/>
        </w:rPr>
        <w:t xml:space="preserve">. All differences are taken to the Income </w:t>
      </w:r>
      <w:r>
        <w:rPr>
          <w:bCs/>
        </w:rPr>
        <w:t>Statement for the year</w:t>
      </w:r>
      <w:r w:rsidRPr="00314D32">
        <w:rPr>
          <w:bCs/>
        </w:rPr>
        <w:t xml:space="preserve">. </w:t>
      </w:r>
    </w:p>
    <w:p w:rsidR="007531F9" w:rsidRDefault="007531F9" w:rsidP="007531F9">
      <w:pPr>
        <w:pStyle w:val="BodyTextIndent"/>
        <w:ind w:left="1440"/>
        <w:rPr>
          <w:bCs/>
        </w:rPr>
      </w:pPr>
    </w:p>
    <w:p w:rsidR="007531F9" w:rsidRPr="00314D32" w:rsidRDefault="007531F9" w:rsidP="007531F9">
      <w:pPr>
        <w:pStyle w:val="BodyTextIndent"/>
        <w:ind w:left="0" w:firstLine="1800"/>
        <w:rPr>
          <w:b/>
          <w:bCs/>
        </w:rPr>
      </w:pPr>
      <w:r>
        <w:rPr>
          <w:b/>
          <w:bCs/>
        </w:rPr>
        <w:t>3</w:t>
      </w:r>
      <w:r w:rsidRPr="00314D32">
        <w:rPr>
          <w:b/>
          <w:bCs/>
        </w:rPr>
        <w:t>.1</w:t>
      </w:r>
      <w:r w:rsidR="006175AD">
        <w:rPr>
          <w:b/>
          <w:bCs/>
        </w:rPr>
        <w:t>1</w:t>
      </w:r>
      <w:r w:rsidRPr="00314D32">
        <w:rPr>
          <w:b/>
          <w:bCs/>
        </w:rPr>
        <w:t xml:space="preserve"> Cash Flow Statement</w:t>
      </w:r>
    </w:p>
    <w:p w:rsidR="007531F9" w:rsidRPr="00314D32" w:rsidRDefault="007531F9" w:rsidP="007531F9">
      <w:pPr>
        <w:pStyle w:val="BodyTextIndent"/>
        <w:ind w:left="0" w:firstLine="1440"/>
      </w:pPr>
    </w:p>
    <w:p w:rsidR="00EA1644" w:rsidRDefault="007531F9" w:rsidP="00A946B5">
      <w:pPr>
        <w:ind w:left="1080" w:firstLine="720"/>
      </w:pPr>
      <w:r w:rsidRPr="00314D32">
        <w:t>The Cash Flow Statement has been prepared using the indirect method.</w:t>
      </w:r>
    </w:p>
    <w:p w:rsidR="007B6462" w:rsidRDefault="007B6462" w:rsidP="00A946B5">
      <w:pPr>
        <w:ind w:left="1080" w:firstLine="720"/>
      </w:pPr>
    </w:p>
    <w:p w:rsidR="007B6462" w:rsidRDefault="007B6462" w:rsidP="00A946B5">
      <w:pPr>
        <w:ind w:left="1080" w:firstLine="720"/>
      </w:pPr>
    </w:p>
    <w:p w:rsidR="007B6462" w:rsidRDefault="007B6462" w:rsidP="00A946B5">
      <w:pPr>
        <w:ind w:left="1080" w:firstLine="720"/>
      </w:pPr>
    </w:p>
    <w:p w:rsidR="007B6462" w:rsidRDefault="007B6462" w:rsidP="00A946B5">
      <w:pPr>
        <w:ind w:left="1080" w:firstLine="720"/>
      </w:pPr>
    </w:p>
    <w:p w:rsidR="007B6462" w:rsidRDefault="007B6462" w:rsidP="00A946B5">
      <w:pPr>
        <w:ind w:left="1080" w:firstLine="720"/>
      </w:pPr>
    </w:p>
    <w:sectPr w:rsidR="007B6462" w:rsidSect="007531F9">
      <w:pgSz w:w="11907" w:h="16839" w:code="9"/>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C92"/>
    <w:multiLevelType w:val="hybridMultilevel"/>
    <w:tmpl w:val="823839C0"/>
    <w:lvl w:ilvl="0" w:tplc="116E28B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2400478E"/>
    <w:multiLevelType w:val="hybridMultilevel"/>
    <w:tmpl w:val="C616B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6A073F7"/>
    <w:multiLevelType w:val="hybridMultilevel"/>
    <w:tmpl w:val="327655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7124C09"/>
    <w:multiLevelType w:val="multilevel"/>
    <w:tmpl w:val="F7FAD0C6"/>
    <w:lvl w:ilvl="0">
      <w:start w:val="1"/>
      <w:numFmt w:val="decimal"/>
      <w:lvlText w:val="%1."/>
      <w:lvlJc w:val="left"/>
      <w:pPr>
        <w:ind w:left="1440" w:hanging="360"/>
      </w:pPr>
      <w:rPr>
        <w:b/>
        <w:sz w:val="24"/>
        <w:szCs w:val="24"/>
      </w:rPr>
    </w:lvl>
    <w:lvl w:ilvl="1">
      <w:start w:val="3"/>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1F9"/>
    <w:rsid w:val="0004388C"/>
    <w:rsid w:val="000C0BED"/>
    <w:rsid w:val="00173A58"/>
    <w:rsid w:val="001941C5"/>
    <w:rsid w:val="00252D33"/>
    <w:rsid w:val="003D1193"/>
    <w:rsid w:val="004A664B"/>
    <w:rsid w:val="004F6EAB"/>
    <w:rsid w:val="00513003"/>
    <w:rsid w:val="006175AD"/>
    <w:rsid w:val="007531F9"/>
    <w:rsid w:val="00767DF2"/>
    <w:rsid w:val="007B276C"/>
    <w:rsid w:val="007B6462"/>
    <w:rsid w:val="00823E1E"/>
    <w:rsid w:val="009704AE"/>
    <w:rsid w:val="009C0F16"/>
    <w:rsid w:val="00A31169"/>
    <w:rsid w:val="00A34B4D"/>
    <w:rsid w:val="00A946B5"/>
    <w:rsid w:val="00AD38BC"/>
    <w:rsid w:val="00BB653A"/>
    <w:rsid w:val="00BE0896"/>
    <w:rsid w:val="00BE10B9"/>
    <w:rsid w:val="00BF44EE"/>
    <w:rsid w:val="00C324CC"/>
    <w:rsid w:val="00C75243"/>
    <w:rsid w:val="00CB1A3E"/>
    <w:rsid w:val="00EA1644"/>
    <w:rsid w:val="00F562E2"/>
    <w:rsid w:val="00F5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31F9"/>
    <w:pPr>
      <w:spacing w:line="360" w:lineRule="auto"/>
      <w:jc w:val="both"/>
    </w:pPr>
  </w:style>
  <w:style w:type="character" w:customStyle="1" w:styleId="BodyTextChar">
    <w:name w:val="Body Text Char"/>
    <w:basedOn w:val="DefaultParagraphFont"/>
    <w:link w:val="BodyText"/>
    <w:rsid w:val="007531F9"/>
    <w:rPr>
      <w:rFonts w:ascii="Times New Roman" w:eastAsia="Times New Roman" w:hAnsi="Times New Roman" w:cs="Times New Roman"/>
      <w:sz w:val="24"/>
      <w:szCs w:val="24"/>
    </w:rPr>
  </w:style>
  <w:style w:type="paragraph" w:styleId="BodyTextIndent">
    <w:name w:val="Body Text Indent"/>
    <w:basedOn w:val="Normal"/>
    <w:link w:val="BodyTextIndentChar"/>
    <w:rsid w:val="007531F9"/>
    <w:pPr>
      <w:spacing w:line="360" w:lineRule="auto"/>
      <w:ind w:left="504"/>
      <w:jc w:val="both"/>
    </w:pPr>
  </w:style>
  <w:style w:type="character" w:customStyle="1" w:styleId="BodyTextIndentChar">
    <w:name w:val="Body Text Indent Char"/>
    <w:basedOn w:val="DefaultParagraphFont"/>
    <w:link w:val="BodyTextIndent"/>
    <w:rsid w:val="007531F9"/>
    <w:rPr>
      <w:rFonts w:ascii="Times New Roman" w:eastAsia="Times New Roman" w:hAnsi="Times New Roman" w:cs="Times New Roman"/>
      <w:sz w:val="24"/>
      <w:szCs w:val="24"/>
    </w:rPr>
  </w:style>
  <w:style w:type="paragraph" w:styleId="ListParagraph">
    <w:name w:val="List Paragraph"/>
    <w:basedOn w:val="Normal"/>
    <w:uiPriority w:val="34"/>
    <w:qFormat/>
    <w:rsid w:val="00753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31F9"/>
    <w:pPr>
      <w:spacing w:line="360" w:lineRule="auto"/>
      <w:jc w:val="both"/>
    </w:pPr>
  </w:style>
  <w:style w:type="character" w:customStyle="1" w:styleId="BodyTextChar">
    <w:name w:val="Body Text Char"/>
    <w:basedOn w:val="DefaultParagraphFont"/>
    <w:link w:val="BodyText"/>
    <w:rsid w:val="007531F9"/>
    <w:rPr>
      <w:rFonts w:ascii="Times New Roman" w:eastAsia="Times New Roman" w:hAnsi="Times New Roman" w:cs="Times New Roman"/>
      <w:sz w:val="24"/>
      <w:szCs w:val="24"/>
    </w:rPr>
  </w:style>
  <w:style w:type="paragraph" w:styleId="BodyTextIndent">
    <w:name w:val="Body Text Indent"/>
    <w:basedOn w:val="Normal"/>
    <w:link w:val="BodyTextIndentChar"/>
    <w:rsid w:val="007531F9"/>
    <w:pPr>
      <w:spacing w:line="360" w:lineRule="auto"/>
      <w:ind w:left="504"/>
      <w:jc w:val="both"/>
    </w:pPr>
  </w:style>
  <w:style w:type="character" w:customStyle="1" w:styleId="BodyTextIndentChar">
    <w:name w:val="Body Text Indent Char"/>
    <w:basedOn w:val="DefaultParagraphFont"/>
    <w:link w:val="BodyTextIndent"/>
    <w:rsid w:val="007531F9"/>
    <w:rPr>
      <w:rFonts w:ascii="Times New Roman" w:eastAsia="Times New Roman" w:hAnsi="Times New Roman" w:cs="Times New Roman"/>
      <w:sz w:val="24"/>
      <w:szCs w:val="24"/>
    </w:rPr>
  </w:style>
  <w:style w:type="paragraph" w:styleId="ListParagraph">
    <w:name w:val="List Paragraph"/>
    <w:basedOn w:val="Normal"/>
    <w:uiPriority w:val="34"/>
    <w:qFormat/>
    <w:rsid w:val="007531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10</cp:revision>
  <cp:lastPrinted>2015-03-11T10:23:00Z</cp:lastPrinted>
  <dcterms:created xsi:type="dcterms:W3CDTF">2015-03-11T03:37:00Z</dcterms:created>
  <dcterms:modified xsi:type="dcterms:W3CDTF">2015-03-16T10:18:00Z</dcterms:modified>
</cp:coreProperties>
</file>